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4804" w14:textId="66FE0B97" w:rsidR="00C869F3" w:rsidRDefault="001C1AD7" w:rsidP="00C869F3">
      <w:pPr>
        <w:spacing w:after="480"/>
      </w:pPr>
      <w:r>
        <w:rPr>
          <w:noProof/>
        </w:rPr>
        <w:drawing>
          <wp:inline distT="0" distB="0" distL="0" distR="0" wp14:anchorId="689F498D" wp14:editId="0664E050">
            <wp:extent cx="2011044" cy="495300"/>
            <wp:effectExtent l="0" t="0" r="0" b="0"/>
            <wp:docPr id="1"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row Council Logo" title="Harrow Council Logo"/>
                    <pic:cNvPicPr/>
                  </pic:nvPicPr>
                  <pic:blipFill>
                    <a:blip r:embed="rId12"/>
                    <a:stretch>
                      <a:fillRect/>
                    </a:stretch>
                  </pic:blipFill>
                  <pic:spPr>
                    <a:xfrm>
                      <a:off x="0" y="0"/>
                      <a:ext cx="2010410" cy="495300"/>
                    </a:xfrm>
                    <a:prstGeom prst="rect">
                      <a:avLst/>
                    </a:prstGeom>
                  </pic:spPr>
                </pic:pic>
              </a:graphicData>
            </a:graphic>
          </wp:inline>
        </w:drawing>
      </w:r>
    </w:p>
    <w:tbl>
      <w:tblPr>
        <w:tblW w:w="0" w:type="auto"/>
        <w:tblLook w:val="0000" w:firstRow="0" w:lastRow="0" w:firstColumn="0" w:lastColumn="0" w:noHBand="0" w:noVBand="0"/>
      </w:tblPr>
      <w:tblGrid>
        <w:gridCol w:w="3456"/>
        <w:gridCol w:w="5054"/>
      </w:tblGrid>
      <w:tr w:rsidR="003745B2" w14:paraId="0DEA3EEB" w14:textId="77777777" w:rsidTr="00DC2956">
        <w:trPr>
          <w:tblHeader/>
        </w:trPr>
        <w:tc>
          <w:tcPr>
            <w:tcW w:w="3456" w:type="dxa"/>
            <w:tcBorders>
              <w:bottom w:val="single" w:sz="18" w:space="0" w:color="auto"/>
            </w:tcBorders>
            <w:shd w:val="clear" w:color="auto" w:fill="FFFFFF"/>
          </w:tcPr>
          <w:p w14:paraId="0F57B48C" w14:textId="77777777" w:rsidR="00333FAA" w:rsidRPr="00B805DB" w:rsidRDefault="005811F8" w:rsidP="00DC2956">
            <w:pPr>
              <w:pStyle w:val="Heading1"/>
              <w:spacing w:after="240"/>
            </w:pPr>
            <w:r>
              <w:t>Report f</w:t>
            </w:r>
            <w:r w:rsidRPr="00C869F3">
              <w:t>or</w:t>
            </w:r>
            <w:r w:rsidR="00333FAA" w:rsidRPr="00C869F3">
              <w:t>:</w:t>
            </w:r>
          </w:p>
        </w:tc>
        <w:tc>
          <w:tcPr>
            <w:tcW w:w="5054" w:type="dxa"/>
            <w:tcBorders>
              <w:bottom w:val="single" w:sz="18" w:space="0" w:color="auto"/>
            </w:tcBorders>
            <w:shd w:val="clear" w:color="auto" w:fill="FFFFFF"/>
          </w:tcPr>
          <w:p w14:paraId="32B61256" w14:textId="77777777" w:rsidR="00333FAA" w:rsidRPr="00DC2956" w:rsidRDefault="005811F8" w:rsidP="00F06E4E">
            <w:pPr>
              <w:pStyle w:val="Heading1"/>
              <w:rPr>
                <w:szCs w:val="24"/>
              </w:rPr>
            </w:pPr>
            <w:r w:rsidRPr="005E3A10">
              <w:t>Cabinet</w:t>
            </w:r>
          </w:p>
        </w:tc>
      </w:tr>
      <w:tr w:rsidR="003745B2" w14:paraId="4E19E0E9" w14:textId="77777777" w:rsidTr="00DC2956">
        <w:tc>
          <w:tcPr>
            <w:tcW w:w="3456" w:type="dxa"/>
            <w:tcBorders>
              <w:top w:val="single" w:sz="18" w:space="0" w:color="auto"/>
            </w:tcBorders>
            <w:shd w:val="clear" w:color="auto" w:fill="FFFFFF"/>
          </w:tcPr>
          <w:p w14:paraId="6E7C7065" w14:textId="77777777" w:rsidR="00333FAA" w:rsidRPr="00DC2956" w:rsidRDefault="00333FAA" w:rsidP="00DC2956">
            <w:pPr>
              <w:pStyle w:val="Infotext"/>
              <w:spacing w:after="240"/>
              <w:rPr>
                <w:rFonts w:ascii="Arial Black" w:hAnsi="Arial Black" w:cs="Arial"/>
              </w:rPr>
            </w:pPr>
            <w:r w:rsidRPr="00DC2956">
              <w:rPr>
                <w:rFonts w:ascii="Arial Black" w:hAnsi="Arial Black"/>
              </w:rPr>
              <w:t>Date of Meeting:</w:t>
            </w:r>
          </w:p>
        </w:tc>
        <w:tc>
          <w:tcPr>
            <w:tcW w:w="5054" w:type="dxa"/>
            <w:tcBorders>
              <w:top w:val="single" w:sz="18" w:space="0" w:color="auto"/>
            </w:tcBorders>
            <w:shd w:val="clear" w:color="auto" w:fill="FFFFFF"/>
          </w:tcPr>
          <w:p w14:paraId="36F0C748" w14:textId="77777777" w:rsidR="00333FAA" w:rsidRPr="00DC2956" w:rsidRDefault="00023640" w:rsidP="00A53B04">
            <w:pPr>
              <w:rPr>
                <w:rFonts w:cs="Arial"/>
                <w:szCs w:val="24"/>
              </w:rPr>
            </w:pPr>
            <w:r>
              <w:rPr>
                <w:rFonts w:cs="Arial"/>
                <w:szCs w:val="24"/>
              </w:rPr>
              <w:t>23</w:t>
            </w:r>
            <w:r w:rsidRPr="00023640">
              <w:rPr>
                <w:rFonts w:cs="Arial"/>
                <w:szCs w:val="24"/>
                <w:vertAlign w:val="superscript"/>
              </w:rPr>
              <w:t>rd</w:t>
            </w:r>
            <w:r>
              <w:rPr>
                <w:rFonts w:cs="Arial"/>
                <w:szCs w:val="24"/>
              </w:rPr>
              <w:t xml:space="preserve"> </w:t>
            </w:r>
            <w:r w:rsidR="00F27E90" w:rsidRPr="00DC2956">
              <w:rPr>
                <w:rFonts w:cs="Arial"/>
                <w:szCs w:val="24"/>
              </w:rPr>
              <w:t>June 2022</w:t>
            </w:r>
          </w:p>
        </w:tc>
      </w:tr>
      <w:tr w:rsidR="00333FAA" w14:paraId="3BEADC83" w14:textId="77777777" w:rsidTr="00DC2956">
        <w:tc>
          <w:tcPr>
            <w:tcW w:w="3456" w:type="dxa"/>
            <w:shd w:val="clear" w:color="auto" w:fill="FFFFFF"/>
          </w:tcPr>
          <w:p w14:paraId="51D6169F" w14:textId="77777777" w:rsidR="00333FAA" w:rsidRPr="00DC2956" w:rsidRDefault="00333FAA" w:rsidP="00DC2956">
            <w:pPr>
              <w:pStyle w:val="Infotext"/>
              <w:spacing w:after="240"/>
              <w:rPr>
                <w:rFonts w:ascii="Arial Black" w:hAnsi="Arial Black"/>
              </w:rPr>
            </w:pPr>
            <w:r w:rsidRPr="00DC2956">
              <w:rPr>
                <w:rFonts w:ascii="Arial Black" w:hAnsi="Arial Black" w:cs="Arial"/>
              </w:rPr>
              <w:t>Subject:</w:t>
            </w:r>
          </w:p>
        </w:tc>
        <w:tc>
          <w:tcPr>
            <w:tcW w:w="5054" w:type="dxa"/>
            <w:shd w:val="clear" w:color="auto" w:fill="FFFFFF"/>
          </w:tcPr>
          <w:p w14:paraId="1D2EB2A5" w14:textId="77777777" w:rsidR="009F5685" w:rsidRPr="00DC2956" w:rsidRDefault="00681AA7" w:rsidP="009F5685">
            <w:pPr>
              <w:rPr>
                <w:rFonts w:eastAsia="Calibri"/>
              </w:rPr>
            </w:pPr>
            <w:r w:rsidRPr="00DC2956">
              <w:rPr>
                <w:rFonts w:eastAsia="Calibri"/>
              </w:rPr>
              <w:t xml:space="preserve">Investment into Harrow’s </w:t>
            </w:r>
            <w:r w:rsidR="00B24BA1" w:rsidRPr="00DC2956">
              <w:rPr>
                <w:rFonts w:eastAsia="Calibri"/>
              </w:rPr>
              <w:t>Tennis Infrastructure</w:t>
            </w:r>
            <w:r w:rsidRPr="00DC2956">
              <w:rPr>
                <w:rFonts w:eastAsia="Calibri"/>
              </w:rPr>
              <w:t xml:space="preserve"> </w:t>
            </w:r>
          </w:p>
          <w:p w14:paraId="23883876" w14:textId="77777777" w:rsidR="00333FAA" w:rsidRPr="00DC2956" w:rsidRDefault="00333FAA" w:rsidP="00A53B04">
            <w:pPr>
              <w:rPr>
                <w:rFonts w:cs="Arial"/>
                <w:szCs w:val="24"/>
              </w:rPr>
            </w:pPr>
          </w:p>
        </w:tc>
      </w:tr>
      <w:tr w:rsidR="00333FAA" w14:paraId="2C7A45E3" w14:textId="77777777" w:rsidTr="00DC2956">
        <w:tc>
          <w:tcPr>
            <w:tcW w:w="3456" w:type="dxa"/>
            <w:shd w:val="clear" w:color="auto" w:fill="FFFFFF"/>
          </w:tcPr>
          <w:p w14:paraId="3C1A58AB" w14:textId="77777777" w:rsidR="00333FAA" w:rsidRPr="00DC2956" w:rsidRDefault="00333FAA" w:rsidP="00DC2956">
            <w:pPr>
              <w:pStyle w:val="Infotext"/>
              <w:spacing w:after="240"/>
              <w:rPr>
                <w:rFonts w:ascii="Arial Black" w:hAnsi="Arial Black" w:cs="Arial"/>
              </w:rPr>
            </w:pPr>
            <w:r w:rsidRPr="00DC2956">
              <w:rPr>
                <w:rFonts w:ascii="Arial Black" w:hAnsi="Arial Black" w:cs="Arial"/>
              </w:rPr>
              <w:t>Key Decision:</w:t>
            </w:r>
          </w:p>
        </w:tc>
        <w:tc>
          <w:tcPr>
            <w:tcW w:w="5054" w:type="dxa"/>
            <w:shd w:val="clear" w:color="auto" w:fill="FFFFFF"/>
          </w:tcPr>
          <w:p w14:paraId="59C8721C" w14:textId="392B934A" w:rsidR="00922BF5" w:rsidRPr="00DC2956" w:rsidRDefault="00613875" w:rsidP="00922BF5">
            <w:pPr>
              <w:rPr>
                <w:rFonts w:eastAsia="Calibri"/>
                <w:szCs w:val="24"/>
              </w:rPr>
            </w:pPr>
            <w:r w:rsidRPr="00DC2956">
              <w:rPr>
                <w:rFonts w:cs="Arial"/>
                <w:szCs w:val="24"/>
              </w:rPr>
              <w:t>Yes</w:t>
            </w:r>
            <w:r w:rsidR="00E629A9" w:rsidRPr="00DC2956">
              <w:rPr>
                <w:rFonts w:cs="Arial"/>
                <w:szCs w:val="24"/>
              </w:rPr>
              <w:t xml:space="preserve"> </w:t>
            </w:r>
            <w:r w:rsidR="00B02C05">
              <w:rPr>
                <w:rFonts w:cs="Arial"/>
                <w:szCs w:val="24"/>
              </w:rPr>
              <w:t>–</w:t>
            </w:r>
            <w:r w:rsidR="00E629A9" w:rsidRPr="00DC2956">
              <w:rPr>
                <w:rFonts w:cs="Arial"/>
                <w:szCs w:val="24"/>
              </w:rPr>
              <w:t xml:space="preserve"> </w:t>
            </w:r>
            <w:r w:rsidR="00B02C05">
              <w:rPr>
                <w:rFonts w:cs="Arial"/>
                <w:szCs w:val="24"/>
              </w:rPr>
              <w:t>affects more than two wards</w:t>
            </w:r>
          </w:p>
          <w:p w14:paraId="79CE7BC7" w14:textId="77777777" w:rsidR="00922BF5" w:rsidRPr="00DC2956" w:rsidRDefault="00922BF5" w:rsidP="00922BF5">
            <w:pPr>
              <w:rPr>
                <w:rFonts w:eastAsia="Calibri"/>
                <w:szCs w:val="24"/>
              </w:rPr>
            </w:pPr>
          </w:p>
          <w:p w14:paraId="016F78CF" w14:textId="77777777" w:rsidR="009E4D35" w:rsidRPr="00DC2956" w:rsidRDefault="009E4D35" w:rsidP="00A53B04">
            <w:pPr>
              <w:rPr>
                <w:rFonts w:cs="Arial"/>
                <w:szCs w:val="24"/>
              </w:rPr>
            </w:pPr>
          </w:p>
        </w:tc>
      </w:tr>
      <w:tr w:rsidR="001C7E35" w14:paraId="584D5AB5" w14:textId="77777777" w:rsidTr="00DC2956">
        <w:tc>
          <w:tcPr>
            <w:tcW w:w="3456" w:type="dxa"/>
            <w:shd w:val="clear" w:color="auto" w:fill="FFFFFF"/>
          </w:tcPr>
          <w:p w14:paraId="69D7E12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Responsible Officer:</w:t>
            </w:r>
          </w:p>
        </w:tc>
        <w:tc>
          <w:tcPr>
            <w:tcW w:w="5054" w:type="dxa"/>
            <w:shd w:val="clear" w:color="auto" w:fill="FFFFFF"/>
          </w:tcPr>
          <w:p w14:paraId="243C6311" w14:textId="2F2C76DF" w:rsidR="00795BEA" w:rsidRDefault="001F003A" w:rsidP="00795BEA">
            <w:pPr>
              <w:jc w:val="both"/>
              <w:rPr>
                <w:rFonts w:eastAsia="Calibri" w:cs="Arial"/>
                <w:color w:val="000000"/>
                <w:szCs w:val="24"/>
              </w:rPr>
            </w:pPr>
            <w:r w:rsidRPr="00DC2956">
              <w:rPr>
                <w:rFonts w:eastAsia="Calibri" w:cs="Arial"/>
                <w:color w:val="000000"/>
                <w:szCs w:val="24"/>
              </w:rPr>
              <w:t>Dipti Patel</w:t>
            </w:r>
            <w:r w:rsidR="00B02C05">
              <w:rPr>
                <w:rFonts w:eastAsia="Calibri" w:cs="Arial"/>
                <w:color w:val="000000"/>
                <w:szCs w:val="24"/>
              </w:rPr>
              <w:t xml:space="preserve"> - </w:t>
            </w:r>
            <w:r w:rsidRPr="00DC2956">
              <w:rPr>
                <w:rFonts w:eastAsia="Calibri" w:cs="Arial"/>
                <w:color w:val="000000"/>
                <w:szCs w:val="24"/>
              </w:rPr>
              <w:t xml:space="preserve">Corporate Director </w:t>
            </w:r>
            <w:r w:rsidR="00B24BA1" w:rsidRPr="00DC2956">
              <w:rPr>
                <w:rFonts w:eastAsia="Calibri" w:cs="Arial"/>
                <w:color w:val="000000"/>
                <w:szCs w:val="24"/>
              </w:rPr>
              <w:t>–</w:t>
            </w:r>
            <w:r w:rsidRPr="00DC2956">
              <w:rPr>
                <w:rFonts w:eastAsia="Calibri" w:cs="Arial"/>
                <w:color w:val="000000"/>
                <w:szCs w:val="24"/>
              </w:rPr>
              <w:t xml:space="preserve"> </w:t>
            </w:r>
            <w:r w:rsidR="00B24BA1" w:rsidRPr="00DC2956">
              <w:rPr>
                <w:rFonts w:eastAsia="Calibri" w:cs="Arial"/>
                <w:color w:val="000000"/>
                <w:szCs w:val="24"/>
              </w:rPr>
              <w:t>Pla</w:t>
            </w:r>
            <w:r w:rsidR="00795BEA">
              <w:rPr>
                <w:rFonts w:eastAsia="Calibri" w:cs="Arial"/>
                <w:color w:val="000000"/>
                <w:szCs w:val="24"/>
              </w:rPr>
              <w:t>ce</w:t>
            </w:r>
            <w:r w:rsidR="00B02C05">
              <w:rPr>
                <w:rFonts w:eastAsia="Calibri" w:cs="Arial"/>
                <w:color w:val="000000"/>
                <w:szCs w:val="24"/>
              </w:rPr>
              <w:t>;</w:t>
            </w:r>
          </w:p>
          <w:p w14:paraId="111D57DD" w14:textId="1D3CE2CF" w:rsidR="00795BEA" w:rsidRDefault="00795BEA" w:rsidP="00795BEA">
            <w:pPr>
              <w:jc w:val="both"/>
              <w:rPr>
                <w:rFonts w:eastAsia="Calibri" w:cs="Arial"/>
                <w:szCs w:val="24"/>
              </w:rPr>
            </w:pPr>
            <w:r>
              <w:rPr>
                <w:rFonts w:eastAsia="Calibri" w:cs="Arial"/>
                <w:szCs w:val="24"/>
              </w:rPr>
              <w:t>Mark Billington</w:t>
            </w:r>
            <w:r w:rsidR="00B02C05">
              <w:rPr>
                <w:rFonts w:eastAsia="Calibri" w:cs="Arial"/>
                <w:szCs w:val="24"/>
              </w:rPr>
              <w:t xml:space="preserve"> - D</w:t>
            </w:r>
            <w:r>
              <w:rPr>
                <w:rFonts w:eastAsia="Calibri" w:cs="Arial"/>
                <w:szCs w:val="24"/>
              </w:rPr>
              <w:t>irector Inclusive Economy, Leisure &amp; Culture</w:t>
            </w:r>
          </w:p>
          <w:p w14:paraId="2F868FF4" w14:textId="15FFCB0C" w:rsidR="00795BEA" w:rsidRPr="00795BEA" w:rsidRDefault="00795BEA" w:rsidP="00795BEA">
            <w:pPr>
              <w:jc w:val="both"/>
              <w:rPr>
                <w:rFonts w:eastAsia="Calibri" w:cs="Arial"/>
                <w:szCs w:val="24"/>
              </w:rPr>
            </w:pPr>
          </w:p>
        </w:tc>
      </w:tr>
      <w:tr w:rsidR="001C7E35" w14:paraId="6082BD6E" w14:textId="77777777" w:rsidTr="00DC2956">
        <w:tc>
          <w:tcPr>
            <w:tcW w:w="3456" w:type="dxa"/>
            <w:shd w:val="clear" w:color="auto" w:fill="FFFFFF"/>
          </w:tcPr>
          <w:p w14:paraId="2A9DAE24" w14:textId="77777777" w:rsidR="001C7E35" w:rsidRPr="00DC2956" w:rsidRDefault="001C7E35" w:rsidP="00DC2956">
            <w:pPr>
              <w:pStyle w:val="Infotext"/>
              <w:spacing w:after="240"/>
              <w:rPr>
                <w:rFonts w:ascii="Arial Black" w:hAnsi="Arial Black"/>
              </w:rPr>
            </w:pPr>
            <w:r w:rsidRPr="00DC2956">
              <w:rPr>
                <w:rFonts w:ascii="Arial Black" w:hAnsi="Arial Black"/>
              </w:rPr>
              <w:t>Portfolio Holder:</w:t>
            </w:r>
          </w:p>
        </w:tc>
        <w:tc>
          <w:tcPr>
            <w:tcW w:w="5054" w:type="dxa"/>
            <w:shd w:val="clear" w:color="auto" w:fill="FFFFFF"/>
          </w:tcPr>
          <w:p w14:paraId="7E2E737D" w14:textId="488A6BDB" w:rsidR="00F55C47" w:rsidRDefault="00E5297F" w:rsidP="00F55C47">
            <w:pPr>
              <w:rPr>
                <w:rFonts w:eastAsia="Calibri" w:cs="Arial"/>
                <w:color w:val="000000"/>
                <w:szCs w:val="24"/>
              </w:rPr>
            </w:pPr>
            <w:r>
              <w:rPr>
                <w:rFonts w:eastAsia="Calibri" w:cs="Arial"/>
                <w:color w:val="000000"/>
                <w:szCs w:val="24"/>
              </w:rPr>
              <w:t>Councillor Jean Lammiman</w:t>
            </w:r>
            <w:r w:rsidR="00B02C05">
              <w:rPr>
                <w:rFonts w:eastAsia="Calibri" w:cs="Arial"/>
                <w:color w:val="000000"/>
                <w:szCs w:val="24"/>
              </w:rPr>
              <w:t xml:space="preserve"> - </w:t>
            </w:r>
            <w:r>
              <w:rPr>
                <w:rFonts w:eastAsia="Calibri" w:cs="Arial"/>
                <w:color w:val="000000"/>
                <w:szCs w:val="24"/>
              </w:rPr>
              <w:t>Portfolio Holder for Community and Culture</w:t>
            </w:r>
          </w:p>
          <w:p w14:paraId="57118F80" w14:textId="77777777" w:rsidR="00E5297F" w:rsidRDefault="00E5297F" w:rsidP="00F55C47">
            <w:pPr>
              <w:rPr>
                <w:rFonts w:cs="Arial"/>
                <w:szCs w:val="24"/>
              </w:rPr>
            </w:pPr>
          </w:p>
          <w:p w14:paraId="57BAFC89" w14:textId="6E02935B" w:rsidR="00E5297F" w:rsidRPr="00DC2956" w:rsidRDefault="00E5297F" w:rsidP="00F55C47">
            <w:pPr>
              <w:rPr>
                <w:rFonts w:cs="Arial"/>
                <w:szCs w:val="24"/>
              </w:rPr>
            </w:pPr>
            <w:r>
              <w:rPr>
                <w:rFonts w:cs="Arial"/>
                <w:szCs w:val="24"/>
              </w:rPr>
              <w:t>Councillor David Ashton</w:t>
            </w:r>
            <w:r w:rsidR="00B02C05">
              <w:rPr>
                <w:rFonts w:cs="Arial"/>
                <w:szCs w:val="24"/>
              </w:rPr>
              <w:t xml:space="preserve"> - </w:t>
            </w:r>
            <w:r>
              <w:rPr>
                <w:rFonts w:cs="Arial"/>
                <w:szCs w:val="24"/>
              </w:rPr>
              <w:t>Portfolio Holder for Finance and Human Resources</w:t>
            </w:r>
          </w:p>
          <w:p w14:paraId="3B770835" w14:textId="77777777" w:rsidR="001C7E35" w:rsidRPr="00DC2956" w:rsidRDefault="001C7E35" w:rsidP="00D835CF">
            <w:pPr>
              <w:pStyle w:val="Infotext"/>
              <w:rPr>
                <w:rFonts w:cs="Arial"/>
                <w:color w:val="FF0000"/>
                <w:sz w:val="24"/>
                <w:szCs w:val="24"/>
              </w:rPr>
            </w:pPr>
          </w:p>
        </w:tc>
      </w:tr>
      <w:tr w:rsidR="001C7E35" w14:paraId="42CB4637" w14:textId="77777777" w:rsidTr="00DC2956">
        <w:tc>
          <w:tcPr>
            <w:tcW w:w="3456" w:type="dxa"/>
            <w:shd w:val="clear" w:color="auto" w:fill="FFFFFF"/>
          </w:tcPr>
          <w:p w14:paraId="12AA1F8C" w14:textId="77777777" w:rsidR="001C7E35" w:rsidRPr="00DC2956" w:rsidRDefault="001C7E35" w:rsidP="00DC2956">
            <w:pPr>
              <w:pStyle w:val="Infotext"/>
              <w:spacing w:after="240"/>
              <w:rPr>
                <w:rFonts w:ascii="Arial Black" w:hAnsi="Arial Black"/>
              </w:rPr>
            </w:pPr>
            <w:r w:rsidRPr="00DC2956">
              <w:rPr>
                <w:rFonts w:ascii="Arial Black" w:hAnsi="Arial Black"/>
              </w:rPr>
              <w:t>Exempt:</w:t>
            </w:r>
          </w:p>
        </w:tc>
        <w:tc>
          <w:tcPr>
            <w:tcW w:w="5054" w:type="dxa"/>
            <w:shd w:val="clear" w:color="auto" w:fill="FFFFFF"/>
          </w:tcPr>
          <w:p w14:paraId="2388F7A2" w14:textId="77777777" w:rsidR="001C7E35" w:rsidRPr="00DC2956" w:rsidRDefault="001C7E35" w:rsidP="00D835CF">
            <w:pPr>
              <w:pStyle w:val="Infotext"/>
              <w:rPr>
                <w:rFonts w:cs="Arial"/>
                <w:sz w:val="24"/>
                <w:szCs w:val="24"/>
              </w:rPr>
            </w:pPr>
            <w:r w:rsidRPr="00DC2956">
              <w:rPr>
                <w:rFonts w:cs="Arial"/>
                <w:sz w:val="24"/>
                <w:szCs w:val="24"/>
              </w:rPr>
              <w:t>No</w:t>
            </w:r>
          </w:p>
          <w:p w14:paraId="5890B70D" w14:textId="77777777" w:rsidR="001C7E35" w:rsidRPr="00DC2956" w:rsidRDefault="001C7E35" w:rsidP="00133036">
            <w:pPr>
              <w:pStyle w:val="Infotext"/>
              <w:rPr>
                <w:rFonts w:cs="Arial"/>
                <w:sz w:val="24"/>
                <w:szCs w:val="24"/>
              </w:rPr>
            </w:pPr>
          </w:p>
        </w:tc>
      </w:tr>
      <w:tr w:rsidR="001C7E35" w14:paraId="34C5869F" w14:textId="77777777" w:rsidTr="00DC2956">
        <w:tc>
          <w:tcPr>
            <w:tcW w:w="3456" w:type="dxa"/>
            <w:shd w:val="clear" w:color="auto" w:fill="FFFFFF"/>
          </w:tcPr>
          <w:p w14:paraId="0B517351" w14:textId="77777777" w:rsidR="001C7E35" w:rsidRPr="00DC2956" w:rsidRDefault="001C7E35" w:rsidP="00DC2956">
            <w:pPr>
              <w:pStyle w:val="Infotext"/>
              <w:spacing w:after="240"/>
              <w:rPr>
                <w:rFonts w:ascii="Arial Black" w:hAnsi="Arial Black"/>
              </w:rPr>
            </w:pPr>
            <w:r w:rsidRPr="00DC2956">
              <w:rPr>
                <w:rFonts w:ascii="Arial Black" w:hAnsi="Arial Black"/>
              </w:rPr>
              <w:t>Decision subject to Call-in:</w:t>
            </w:r>
          </w:p>
        </w:tc>
        <w:tc>
          <w:tcPr>
            <w:tcW w:w="5054" w:type="dxa"/>
            <w:shd w:val="clear" w:color="auto" w:fill="FFFFFF"/>
          </w:tcPr>
          <w:p w14:paraId="4EC19AE7" w14:textId="77777777" w:rsidR="001C7E35" w:rsidRPr="00DC2956" w:rsidRDefault="001C7E35" w:rsidP="00D835CF">
            <w:pPr>
              <w:pStyle w:val="Infotext"/>
              <w:rPr>
                <w:rFonts w:cs="Arial"/>
                <w:sz w:val="24"/>
                <w:szCs w:val="24"/>
              </w:rPr>
            </w:pPr>
            <w:r w:rsidRPr="00DC2956">
              <w:rPr>
                <w:rFonts w:cs="Arial"/>
                <w:sz w:val="24"/>
                <w:szCs w:val="24"/>
              </w:rPr>
              <w:t xml:space="preserve">Yes </w:t>
            </w:r>
          </w:p>
          <w:p w14:paraId="74607DC3" w14:textId="77777777" w:rsidR="00714BEE" w:rsidRPr="00DC2956" w:rsidRDefault="00714BEE" w:rsidP="00133036">
            <w:pPr>
              <w:rPr>
                <w:rFonts w:cs="Arial"/>
                <w:szCs w:val="24"/>
              </w:rPr>
            </w:pPr>
          </w:p>
        </w:tc>
      </w:tr>
      <w:tr w:rsidR="001C7E35" w14:paraId="0EDEBD7F" w14:textId="77777777" w:rsidTr="00DC2956">
        <w:tc>
          <w:tcPr>
            <w:tcW w:w="3456" w:type="dxa"/>
            <w:shd w:val="clear" w:color="auto" w:fill="FFFFFF"/>
          </w:tcPr>
          <w:p w14:paraId="18CA411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Wards affected:</w:t>
            </w:r>
          </w:p>
        </w:tc>
        <w:tc>
          <w:tcPr>
            <w:tcW w:w="5054" w:type="dxa"/>
            <w:shd w:val="clear" w:color="auto" w:fill="FFFFFF"/>
          </w:tcPr>
          <w:p w14:paraId="222F6267" w14:textId="77777777" w:rsidR="00307F76" w:rsidRPr="00DC2956" w:rsidRDefault="00F527B1" w:rsidP="00D835CF">
            <w:pPr>
              <w:rPr>
                <w:rFonts w:cs="Arial"/>
                <w:b/>
                <w:color w:val="FF0000"/>
                <w:szCs w:val="24"/>
              </w:rPr>
            </w:pPr>
            <w:r w:rsidRPr="00DC2956">
              <w:rPr>
                <w:rFonts w:cs="Arial"/>
                <w:szCs w:val="24"/>
              </w:rPr>
              <w:t xml:space="preserve">All </w:t>
            </w:r>
          </w:p>
        </w:tc>
      </w:tr>
      <w:tr w:rsidR="001C7E35" w14:paraId="1E53639C" w14:textId="77777777" w:rsidTr="00DC2956">
        <w:tc>
          <w:tcPr>
            <w:tcW w:w="3456" w:type="dxa"/>
            <w:shd w:val="clear" w:color="auto" w:fill="FFFFFF"/>
          </w:tcPr>
          <w:p w14:paraId="12186DD5"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Enclosures:</w:t>
            </w:r>
          </w:p>
        </w:tc>
        <w:tc>
          <w:tcPr>
            <w:tcW w:w="5054" w:type="dxa"/>
            <w:shd w:val="clear" w:color="auto" w:fill="FFFFFF"/>
          </w:tcPr>
          <w:p w14:paraId="4E3A3CCD" w14:textId="77777777" w:rsidR="00B73BC2" w:rsidRPr="00DC2956" w:rsidRDefault="00B73BC2" w:rsidP="00B73BC2">
            <w:pPr>
              <w:rPr>
                <w:rFonts w:cs="Arial"/>
                <w:szCs w:val="24"/>
              </w:rPr>
            </w:pPr>
            <w:r w:rsidRPr="00DC2956">
              <w:rPr>
                <w:rFonts w:cs="Arial"/>
                <w:szCs w:val="24"/>
              </w:rPr>
              <w:t>Appendix 1: Equalities Impact Assessment</w:t>
            </w:r>
          </w:p>
          <w:p w14:paraId="2B3B55B2" w14:textId="77777777" w:rsidR="001C7E35" w:rsidRPr="00DC2956" w:rsidRDefault="001C7E35" w:rsidP="00DB6C3D">
            <w:pPr>
              <w:pStyle w:val="Infotext"/>
              <w:rPr>
                <w:color w:val="FF0000"/>
                <w:sz w:val="24"/>
                <w:szCs w:val="24"/>
              </w:rPr>
            </w:pPr>
          </w:p>
        </w:tc>
      </w:tr>
    </w:tbl>
    <w:p w14:paraId="00211844" w14:textId="77777777" w:rsidR="00097F29" w:rsidRDefault="00DD7A27" w:rsidP="00C869F3">
      <w:pPr>
        <w:spacing w:after="480"/>
        <w:rPr>
          <w:rFonts w:cs="Arial"/>
        </w:rPr>
      </w:pPr>
      <w:r>
        <w:rPr>
          <w:rFonts w:cs="Arial"/>
        </w:rPr>
        <w:tab/>
      </w:r>
      <w:r>
        <w:rPr>
          <w:rFonts w:cs="Arial"/>
        </w:rPr>
        <w:tab/>
      </w:r>
      <w:r>
        <w:rPr>
          <w:rFonts w:cs="Arial"/>
        </w:rPr>
        <w:tab/>
      </w:r>
      <w:r>
        <w:rPr>
          <w:rFonts w:cs="Arial"/>
        </w:rPr>
        <w:tab/>
        <w:t xml:space="preserve">       </w:t>
      </w:r>
    </w:p>
    <w:p w14:paraId="10AC8BD9" w14:textId="77777777" w:rsidR="00097F29" w:rsidRDefault="00097F29" w:rsidP="00C869F3">
      <w:pPr>
        <w:spacing w:after="480"/>
        <w:rPr>
          <w:rFonts w:cs="Arial"/>
        </w:rPr>
      </w:pPr>
    </w:p>
    <w:p w14:paraId="467DBE94" w14:textId="77777777" w:rsidR="00A74CE3" w:rsidRDefault="00A74CE3" w:rsidP="00C869F3">
      <w:pPr>
        <w:spacing w:after="480"/>
        <w:rPr>
          <w:rFonts w:cs="Arial"/>
        </w:rPr>
      </w:pPr>
    </w:p>
    <w:p w14:paraId="61050531" w14:textId="77777777" w:rsidR="00A74CE3" w:rsidRDefault="00A74CE3" w:rsidP="00C869F3">
      <w:pPr>
        <w:spacing w:after="480"/>
        <w:rPr>
          <w:rFonts w:cs="Arial"/>
        </w:rPr>
      </w:pPr>
    </w:p>
    <w:p w14:paraId="111D7451" w14:textId="77777777" w:rsidR="00097F29" w:rsidRDefault="00097F29"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5F9A6C1F" w14:textId="77777777" w:rsidTr="00221A93">
        <w:trPr>
          <w:tblHeader/>
        </w:trPr>
        <w:tc>
          <w:tcPr>
            <w:tcW w:w="8525" w:type="dxa"/>
            <w:tcBorders>
              <w:top w:val="nil"/>
              <w:left w:val="nil"/>
              <w:right w:val="nil"/>
            </w:tcBorders>
          </w:tcPr>
          <w:p w14:paraId="32040757" w14:textId="77777777" w:rsidR="00333FAA" w:rsidRDefault="00333FAA" w:rsidP="00605A4C">
            <w:pPr>
              <w:pStyle w:val="Heading2"/>
              <w:spacing w:after="240"/>
            </w:pPr>
            <w:r>
              <w:lastRenderedPageBreak/>
              <w:t>Section 1 – Summary and Recommendations</w:t>
            </w:r>
          </w:p>
        </w:tc>
      </w:tr>
      <w:tr w:rsidR="00333FAA" w14:paraId="6EA93108" w14:textId="77777777" w:rsidTr="00221A93">
        <w:trPr>
          <w:tblHeader/>
        </w:trPr>
        <w:tc>
          <w:tcPr>
            <w:tcW w:w="8525" w:type="dxa"/>
          </w:tcPr>
          <w:p w14:paraId="4232C118" w14:textId="77777777" w:rsidR="001C7E35" w:rsidRPr="00DC2956" w:rsidRDefault="00D77906" w:rsidP="00605A4C">
            <w:pPr>
              <w:rPr>
                <w:color w:val="000000"/>
                <w:szCs w:val="24"/>
              </w:rPr>
            </w:pPr>
            <w:r w:rsidRPr="00DC2956">
              <w:rPr>
                <w:color w:val="000000"/>
                <w:szCs w:val="24"/>
              </w:rPr>
              <w:t>This report seeks approval to enter into a</w:t>
            </w:r>
            <w:r w:rsidR="00D067FE" w:rsidRPr="00DC2956">
              <w:rPr>
                <w:color w:val="000000"/>
                <w:szCs w:val="24"/>
              </w:rPr>
              <w:t>n</w:t>
            </w:r>
            <w:r w:rsidRPr="00DC2956">
              <w:rPr>
                <w:color w:val="000000"/>
                <w:szCs w:val="24"/>
              </w:rPr>
              <w:t xml:space="preserve"> agreement with the Lawn Tennis Association </w:t>
            </w:r>
            <w:r w:rsidR="00877570" w:rsidRPr="00DC2956">
              <w:rPr>
                <w:color w:val="000000"/>
                <w:szCs w:val="24"/>
              </w:rPr>
              <w:t xml:space="preserve">(LTA) </w:t>
            </w:r>
            <w:r w:rsidRPr="00DC2956">
              <w:rPr>
                <w:color w:val="000000"/>
                <w:szCs w:val="24"/>
              </w:rPr>
              <w:t>for the renovation of tennis courts in Harrow’s Parks</w:t>
            </w:r>
            <w:r w:rsidR="00877570" w:rsidRPr="00DC2956">
              <w:rPr>
                <w:color w:val="000000"/>
                <w:szCs w:val="24"/>
              </w:rPr>
              <w:t xml:space="preserve"> </w:t>
            </w:r>
            <w:r w:rsidRPr="00DC2956">
              <w:rPr>
                <w:color w:val="000000"/>
                <w:szCs w:val="24"/>
              </w:rPr>
              <w:t xml:space="preserve">and to then proceed with the procurement </w:t>
            </w:r>
            <w:r w:rsidR="00681AA7" w:rsidRPr="00DC2956">
              <w:rPr>
                <w:color w:val="000000"/>
                <w:szCs w:val="24"/>
              </w:rPr>
              <w:t xml:space="preserve">for restoration and renovation of the courts and for </w:t>
            </w:r>
            <w:r w:rsidR="00B24BA1" w:rsidRPr="00DC2956">
              <w:rPr>
                <w:color w:val="000000"/>
                <w:szCs w:val="24"/>
              </w:rPr>
              <w:t xml:space="preserve">an </w:t>
            </w:r>
            <w:r w:rsidRPr="00DC2956">
              <w:rPr>
                <w:color w:val="000000"/>
                <w:szCs w:val="24"/>
              </w:rPr>
              <w:t>operator to manage the courts.</w:t>
            </w:r>
          </w:p>
          <w:p w14:paraId="30269BC6" w14:textId="77777777" w:rsidR="001C7E35" w:rsidRPr="00804899" w:rsidRDefault="00605A4C" w:rsidP="00E13BEF">
            <w:pPr>
              <w:pStyle w:val="Heading3"/>
              <w:spacing w:before="240"/>
              <w:rPr>
                <w:sz w:val="24"/>
                <w:szCs w:val="24"/>
              </w:rPr>
            </w:pPr>
            <w:r w:rsidRPr="00804899">
              <w:rPr>
                <w:sz w:val="24"/>
                <w:szCs w:val="24"/>
              </w:rPr>
              <w:t>Recommen</w:t>
            </w:r>
            <w:r w:rsidR="001C7E35" w:rsidRPr="00804899">
              <w:rPr>
                <w:sz w:val="24"/>
                <w:szCs w:val="24"/>
              </w:rPr>
              <w:t xml:space="preserve">dations: </w:t>
            </w:r>
          </w:p>
          <w:p w14:paraId="5432BD8A" w14:textId="77777777" w:rsidR="001C7E35" w:rsidRPr="00804899" w:rsidRDefault="001C7E35" w:rsidP="00605A4C">
            <w:pPr>
              <w:rPr>
                <w:szCs w:val="24"/>
              </w:rPr>
            </w:pPr>
            <w:r w:rsidRPr="00804899">
              <w:rPr>
                <w:szCs w:val="24"/>
              </w:rPr>
              <w:t>Cabinet is requested to:</w:t>
            </w:r>
          </w:p>
          <w:p w14:paraId="399E4354" w14:textId="77777777" w:rsidR="00A348A2" w:rsidRPr="00804899" w:rsidRDefault="00A348A2" w:rsidP="00605A4C">
            <w:pPr>
              <w:rPr>
                <w:szCs w:val="24"/>
              </w:rPr>
            </w:pPr>
          </w:p>
          <w:p w14:paraId="0789D273" w14:textId="77777777" w:rsidR="00A348A2" w:rsidRPr="00804899" w:rsidRDefault="00005213" w:rsidP="00CC12F3">
            <w:pPr>
              <w:pStyle w:val="ListParagraph"/>
              <w:numPr>
                <w:ilvl w:val="0"/>
                <w:numId w:val="3"/>
              </w:numPr>
              <w:rPr>
                <w:rFonts w:eastAsia="Calibri"/>
                <w:szCs w:val="24"/>
              </w:rPr>
            </w:pPr>
            <w:r w:rsidRPr="00804899">
              <w:rPr>
                <w:rFonts w:eastAsia="Calibri"/>
                <w:szCs w:val="24"/>
              </w:rPr>
              <w:t>Approve entering into a</w:t>
            </w:r>
            <w:r w:rsidR="00D067FE">
              <w:rPr>
                <w:rFonts w:eastAsia="Calibri"/>
                <w:szCs w:val="24"/>
              </w:rPr>
              <w:t>n</w:t>
            </w:r>
            <w:r w:rsidRPr="00804899">
              <w:rPr>
                <w:rFonts w:eastAsia="Calibri"/>
                <w:szCs w:val="24"/>
              </w:rPr>
              <w:t xml:space="preserve"> agreement with the Lawn Tennis Association (LTA) for capital funding to renovate courts in Harrow’s parks from the LTA’s Renovation Fund, and to delegate to the Corporate Director of Place the authority to finalise the details of the funding agreement and to take any further actions necessary to complete the funding agreement. The supplier that will renovate the tennis courts will be procured by the LTA through the LTA National Framework.</w:t>
            </w:r>
          </w:p>
          <w:p w14:paraId="4D5B2C97" w14:textId="77777777" w:rsidR="00A348A2" w:rsidRPr="00804899" w:rsidRDefault="00A348A2" w:rsidP="00A348A2">
            <w:pPr>
              <w:rPr>
                <w:rFonts w:eastAsia="Calibri"/>
                <w:szCs w:val="24"/>
              </w:rPr>
            </w:pPr>
          </w:p>
          <w:p w14:paraId="3DCA7A24" w14:textId="5915B2A7" w:rsidR="000C2752" w:rsidRPr="00804899" w:rsidRDefault="00005213" w:rsidP="00CC12F3">
            <w:pPr>
              <w:pStyle w:val="ListParagraph"/>
              <w:numPr>
                <w:ilvl w:val="0"/>
                <w:numId w:val="3"/>
              </w:numPr>
              <w:rPr>
                <w:rFonts w:eastAsia="Calibri"/>
                <w:szCs w:val="24"/>
              </w:rPr>
            </w:pPr>
            <w:r w:rsidRPr="00804899">
              <w:rPr>
                <w:rFonts w:eastAsia="Calibri"/>
                <w:szCs w:val="24"/>
              </w:rPr>
              <w:t xml:space="preserve">Delegate authority to the Corporate Director of Place and the Director of Finance, following consultation with the </w:t>
            </w:r>
            <w:r w:rsidR="00804899" w:rsidRPr="00804899">
              <w:rPr>
                <w:rFonts w:eastAsia="Calibri"/>
                <w:szCs w:val="24"/>
              </w:rPr>
              <w:t>Portfolio Holder</w:t>
            </w:r>
            <w:r w:rsidR="00E5297F">
              <w:rPr>
                <w:rFonts w:eastAsia="Calibri"/>
                <w:szCs w:val="24"/>
              </w:rPr>
              <w:t xml:space="preserve"> for Community and Culture and the Portfolio Holder for Finance and Human Resources </w:t>
            </w:r>
            <w:r w:rsidRPr="00804899">
              <w:rPr>
                <w:rFonts w:eastAsia="Calibri"/>
                <w:szCs w:val="24"/>
              </w:rPr>
              <w:t>to enter into a</w:t>
            </w:r>
            <w:r w:rsidR="00D067FE">
              <w:rPr>
                <w:rFonts w:eastAsia="Calibri"/>
                <w:szCs w:val="24"/>
              </w:rPr>
              <w:t xml:space="preserve"> works</w:t>
            </w:r>
            <w:r w:rsidRPr="00804899">
              <w:rPr>
                <w:rFonts w:eastAsia="Calibri"/>
                <w:szCs w:val="24"/>
              </w:rPr>
              <w:t xml:space="preserve"> contract between Harrow Council and the successful contractor for the renovation of the courts</w:t>
            </w:r>
            <w:r w:rsidR="00795BEA">
              <w:rPr>
                <w:rFonts w:eastAsia="Calibri"/>
                <w:szCs w:val="24"/>
              </w:rPr>
              <w:t>.</w:t>
            </w:r>
          </w:p>
          <w:p w14:paraId="1BBC9664" w14:textId="77777777" w:rsidR="00D50257" w:rsidRPr="00804899" w:rsidRDefault="00D50257" w:rsidP="00D50257">
            <w:pPr>
              <w:pStyle w:val="ListParagraph"/>
              <w:ind w:left="360"/>
              <w:rPr>
                <w:rFonts w:eastAsia="Calibri"/>
                <w:szCs w:val="24"/>
              </w:rPr>
            </w:pPr>
          </w:p>
          <w:p w14:paraId="2CE22F9B" w14:textId="77777777" w:rsidR="00D50257" w:rsidRPr="00804899" w:rsidRDefault="00005213" w:rsidP="00D50257">
            <w:pPr>
              <w:pStyle w:val="ListParagraph"/>
              <w:numPr>
                <w:ilvl w:val="0"/>
                <w:numId w:val="3"/>
              </w:numPr>
              <w:rPr>
                <w:rFonts w:eastAsia="Calibri"/>
                <w:szCs w:val="24"/>
              </w:rPr>
            </w:pPr>
            <w:r w:rsidRPr="00804899">
              <w:rPr>
                <w:rFonts w:eastAsia="Calibri"/>
                <w:szCs w:val="24"/>
              </w:rPr>
              <w:t>Approve the commencement of a procurement to identify and contract with a supplier for the provision of a tennis court operator and delegate authority to the Corporate Director of Place and the Director of Finance, following consultation with the Portfolio Holder</w:t>
            </w:r>
            <w:r w:rsidR="00E5297F">
              <w:rPr>
                <w:rFonts w:eastAsia="Calibri"/>
                <w:szCs w:val="24"/>
              </w:rPr>
              <w:t xml:space="preserve"> for Community and Culture and the Portfolio Holder for Finance and Human Resources</w:t>
            </w:r>
            <w:r w:rsidRPr="00804899">
              <w:rPr>
                <w:rFonts w:eastAsia="Calibri"/>
                <w:szCs w:val="24"/>
              </w:rPr>
              <w:t xml:space="preserve"> to enter into a contract between Harrow Council and the successful contractor. The responsible Officer leading on the procurement will be the Head of Service – Culture and Leisure</w:t>
            </w:r>
            <w:r w:rsidR="003745B2">
              <w:rPr>
                <w:rFonts w:eastAsia="Calibri"/>
                <w:szCs w:val="24"/>
              </w:rPr>
              <w:t>.  Approval in this regard to include delegating to explore and decide the best contract model between the council and the operator, which model may include a straight/conventional contract, a works concession contract or any other model that will be most effective and also yield value for money to the council</w:t>
            </w:r>
          </w:p>
          <w:p w14:paraId="7C490667" w14:textId="77777777" w:rsidR="00AA40FD" w:rsidRPr="00804899" w:rsidRDefault="00AA40FD" w:rsidP="00AA40FD">
            <w:pPr>
              <w:pStyle w:val="ListParagraph"/>
              <w:rPr>
                <w:rFonts w:eastAsia="Calibri"/>
                <w:szCs w:val="24"/>
              </w:rPr>
            </w:pPr>
          </w:p>
          <w:p w14:paraId="188786FF" w14:textId="190FAA7F" w:rsidR="00AA40FD" w:rsidRPr="00804899" w:rsidRDefault="00005213" w:rsidP="00AA40FD">
            <w:pPr>
              <w:pStyle w:val="ListParagraph"/>
              <w:numPr>
                <w:ilvl w:val="0"/>
                <w:numId w:val="3"/>
              </w:numPr>
              <w:rPr>
                <w:rFonts w:eastAsia="Calibri"/>
                <w:szCs w:val="24"/>
              </w:rPr>
            </w:pPr>
            <w:r w:rsidRPr="00804899">
              <w:rPr>
                <w:rFonts w:eastAsia="Calibri"/>
                <w:szCs w:val="24"/>
              </w:rPr>
              <w:t xml:space="preserve">Delegate </w:t>
            </w:r>
            <w:r w:rsidR="00275DD5" w:rsidRPr="00804899">
              <w:rPr>
                <w:rFonts w:eastAsia="Calibri"/>
                <w:szCs w:val="24"/>
              </w:rPr>
              <w:t>authority to the Corporate Director of Place following consultation with the Portfolio Holder</w:t>
            </w:r>
            <w:r w:rsidR="00E5297F">
              <w:rPr>
                <w:rFonts w:eastAsia="Calibri"/>
                <w:szCs w:val="24"/>
              </w:rPr>
              <w:t xml:space="preserve"> for Community and Culture</w:t>
            </w:r>
            <w:r w:rsidR="00A74CE3">
              <w:rPr>
                <w:rFonts w:eastAsia="Calibri"/>
                <w:szCs w:val="24"/>
              </w:rPr>
              <w:t xml:space="preserve"> </w:t>
            </w:r>
            <w:r w:rsidR="00275DD5" w:rsidRPr="00804899">
              <w:rPr>
                <w:rFonts w:eastAsia="Calibri"/>
                <w:szCs w:val="24"/>
              </w:rPr>
              <w:t>to agree a consultation strategy in relation to the renovation of the courts</w:t>
            </w:r>
          </w:p>
          <w:p w14:paraId="22529591" w14:textId="77777777" w:rsidR="00723486" w:rsidRPr="00804899" w:rsidRDefault="00723486" w:rsidP="00723486">
            <w:pPr>
              <w:rPr>
                <w:rFonts w:eastAsia="Calibri"/>
                <w:szCs w:val="24"/>
              </w:rPr>
            </w:pPr>
          </w:p>
          <w:p w14:paraId="2C44545D" w14:textId="77777777" w:rsidR="00111C1A" w:rsidRPr="00804899" w:rsidRDefault="00E13BEF" w:rsidP="00E13BEF">
            <w:pPr>
              <w:pStyle w:val="Heading3"/>
              <w:ind w:left="0" w:firstLine="0"/>
              <w:jc w:val="left"/>
              <w:rPr>
                <w:sz w:val="24"/>
                <w:szCs w:val="24"/>
              </w:rPr>
            </w:pPr>
            <w:r w:rsidRPr="00804899">
              <w:rPr>
                <w:sz w:val="24"/>
                <w:szCs w:val="24"/>
              </w:rPr>
              <w:t>Reason: (f</w:t>
            </w:r>
            <w:r w:rsidR="001C7E35" w:rsidRPr="00804899">
              <w:rPr>
                <w:sz w:val="24"/>
                <w:szCs w:val="24"/>
              </w:rPr>
              <w:t>or recommendation</w:t>
            </w:r>
            <w:r w:rsidR="00714BEE" w:rsidRPr="00804899">
              <w:rPr>
                <w:sz w:val="24"/>
                <w:szCs w:val="24"/>
              </w:rPr>
              <w:t>s</w:t>
            </w:r>
            <w:r w:rsidR="001C7E35" w:rsidRPr="00804899">
              <w:rPr>
                <w:sz w:val="24"/>
                <w:szCs w:val="24"/>
              </w:rPr>
              <w:t>)</w:t>
            </w:r>
            <w:r w:rsidR="00F91AE4" w:rsidRPr="00804899">
              <w:rPr>
                <w:sz w:val="24"/>
                <w:szCs w:val="24"/>
              </w:rPr>
              <w:t xml:space="preserve"> </w:t>
            </w:r>
          </w:p>
          <w:p w14:paraId="54653546" w14:textId="77777777" w:rsidR="001C7E35" w:rsidRPr="005406E9" w:rsidRDefault="00111C1A" w:rsidP="00111C1A">
            <w:pPr>
              <w:rPr>
                <w:color w:val="FF0000"/>
                <w:sz w:val="22"/>
                <w:szCs w:val="22"/>
              </w:rPr>
            </w:pPr>
            <w:r w:rsidRPr="00804899">
              <w:rPr>
                <w:szCs w:val="24"/>
              </w:rPr>
              <w:t>To enable the tennis courts in Harrow’s parks to be renovated to a playable standard, increasing participation in tennis in Harrow, and ensuring that</w:t>
            </w:r>
            <w:r w:rsidRPr="005406E9">
              <w:rPr>
                <w:sz w:val="22"/>
                <w:szCs w:val="22"/>
              </w:rPr>
              <w:t xml:space="preserve"> the </w:t>
            </w:r>
            <w:r w:rsidRPr="00804899">
              <w:rPr>
                <w:szCs w:val="24"/>
              </w:rPr>
              <w:t>courts are maintained in the long term by being financially sustainable.</w:t>
            </w:r>
            <w:r w:rsidR="001C7E35" w:rsidRPr="00804899">
              <w:rPr>
                <w:szCs w:val="24"/>
              </w:rPr>
              <w:t xml:space="preserve"> </w:t>
            </w:r>
          </w:p>
          <w:p w14:paraId="49B98ED4" w14:textId="77777777" w:rsidR="00333FAA" w:rsidRDefault="00333FAA" w:rsidP="00605A4C"/>
        </w:tc>
      </w:tr>
    </w:tbl>
    <w:p w14:paraId="333BE8F9" w14:textId="77777777" w:rsidR="00B02C05" w:rsidRDefault="00B02C05" w:rsidP="00F06E4E">
      <w:pPr>
        <w:pStyle w:val="Heading2"/>
        <w:spacing w:before="480"/>
      </w:pPr>
    </w:p>
    <w:p w14:paraId="6BCAEDD3" w14:textId="32BDB7AB" w:rsidR="00333FAA" w:rsidRDefault="00333FAA" w:rsidP="00F06E4E">
      <w:pPr>
        <w:pStyle w:val="Heading2"/>
        <w:spacing w:before="480"/>
      </w:pPr>
      <w:r>
        <w:lastRenderedPageBreak/>
        <w:t>Section 2 – Report</w:t>
      </w:r>
    </w:p>
    <w:p w14:paraId="6312A379" w14:textId="77777777" w:rsidR="00CC5BE9" w:rsidRDefault="00CC5BE9" w:rsidP="005346ED">
      <w:pPr>
        <w:pStyle w:val="Heading3"/>
        <w:numPr>
          <w:ilvl w:val="0"/>
          <w:numId w:val="8"/>
        </w:numPr>
        <w:spacing w:before="240"/>
      </w:pPr>
      <w:r>
        <w:t>Introduction</w:t>
      </w:r>
    </w:p>
    <w:p w14:paraId="5D16417B" w14:textId="77777777" w:rsidR="00CC5BE9" w:rsidRDefault="00CC5BE9" w:rsidP="001C7E35"/>
    <w:p w14:paraId="39DAF46F" w14:textId="77777777" w:rsidR="001C7E35" w:rsidRDefault="00432776" w:rsidP="005346ED">
      <w:pPr>
        <w:numPr>
          <w:ilvl w:val="1"/>
          <w:numId w:val="8"/>
        </w:numPr>
      </w:pPr>
      <w:r>
        <w:t>Entering into a funding agreement with the Lawn Tennis Association (LTA) for grant funding to fund the renovation of tennis courts in Harrow’s parks and the procure</w:t>
      </w:r>
      <w:r w:rsidR="00723486">
        <w:t xml:space="preserve">ment of </w:t>
      </w:r>
      <w:r>
        <w:t xml:space="preserve">an operator to manage the courts will help to deliver the Council’s </w:t>
      </w:r>
      <w:r w:rsidR="00636668">
        <w:t>objective to address health inequality by increasing the opportunity for more people of all ages to play tennis in Harrow.</w:t>
      </w:r>
      <w:r>
        <w:t xml:space="preserve"> </w:t>
      </w:r>
      <w:r w:rsidR="000F3076">
        <w:t>Harrow currently has physical activity levels that are below the London and national averages.</w:t>
      </w:r>
      <w:r w:rsidR="001C7E35">
        <w:t xml:space="preserve">  </w:t>
      </w:r>
    </w:p>
    <w:p w14:paraId="1FE01D9E" w14:textId="77777777" w:rsidR="009D67C8" w:rsidRDefault="009D67C8" w:rsidP="005346ED">
      <w:pPr>
        <w:pStyle w:val="Heading3"/>
        <w:numPr>
          <w:ilvl w:val="0"/>
          <w:numId w:val="8"/>
        </w:numPr>
        <w:spacing w:before="240"/>
        <w:jc w:val="left"/>
      </w:pPr>
      <w:r>
        <w:t>Current Situation</w:t>
      </w:r>
    </w:p>
    <w:p w14:paraId="73DD0153" w14:textId="77777777" w:rsidR="005346ED" w:rsidRDefault="005346ED" w:rsidP="00A97C96"/>
    <w:p w14:paraId="0088BF92" w14:textId="77777777" w:rsidR="005346ED" w:rsidRDefault="00A97C96" w:rsidP="009D67C8">
      <w:pPr>
        <w:numPr>
          <w:ilvl w:val="1"/>
          <w:numId w:val="8"/>
        </w:numPr>
      </w:pPr>
      <w:r>
        <w:t xml:space="preserve">The public tennis courts in Harrow’s parks are currently available on a turn up and play basis with no booking facility available and are free to use at all times. </w:t>
      </w:r>
    </w:p>
    <w:p w14:paraId="192A059B" w14:textId="77777777" w:rsidR="005346ED" w:rsidRDefault="005346ED" w:rsidP="005346ED">
      <w:pPr>
        <w:ind w:left="1080"/>
      </w:pPr>
    </w:p>
    <w:p w14:paraId="7C25BC4F" w14:textId="77777777" w:rsidR="005346ED" w:rsidRDefault="00A97C96" w:rsidP="009D67C8">
      <w:pPr>
        <w:numPr>
          <w:ilvl w:val="1"/>
          <w:numId w:val="8"/>
        </w:numPr>
      </w:pPr>
      <w:r>
        <w:t xml:space="preserve">An assessment of the public tennis courts in </w:t>
      </w:r>
      <w:r w:rsidR="00723486">
        <w:t>all</w:t>
      </w:r>
      <w:r>
        <w:t xml:space="preserve"> the Harrow’s parks by the Lawn Tennis Association (LTA) identified that the majority of the courts </w:t>
      </w:r>
      <w:r w:rsidR="00816D70">
        <w:t xml:space="preserve">as detailed in section 3.1 below </w:t>
      </w:r>
      <w:r>
        <w:t>were either in an unplayable, very poor, or poor condition. The only parks where the tennis courts were identified as being in a good or very good condition were Pinner Village Gardens, Rayners Mead, and West Harrow Recreation Ground.</w:t>
      </w:r>
    </w:p>
    <w:p w14:paraId="4EB62676" w14:textId="77777777" w:rsidR="005346ED" w:rsidRDefault="005346ED" w:rsidP="005346ED">
      <w:pPr>
        <w:pStyle w:val="ListParagraph"/>
      </w:pPr>
    </w:p>
    <w:p w14:paraId="3CEE538F" w14:textId="77777777" w:rsidR="005346ED" w:rsidRDefault="008300FD" w:rsidP="009D67C8">
      <w:pPr>
        <w:numPr>
          <w:ilvl w:val="1"/>
          <w:numId w:val="8"/>
        </w:numPr>
      </w:pPr>
      <w:r>
        <w:t xml:space="preserve">Sport England’s Active Lives data published in November 2021 for the period May 2020 to May 2021 showed that the percentage of inactive people in Harrow (less than 30 minutes activity a week) </w:t>
      </w:r>
      <w:r w:rsidR="007C48B8">
        <w:t>was 37.2% compared to 26.7% for London, and 27.5% for England.</w:t>
      </w:r>
    </w:p>
    <w:p w14:paraId="1E0874DC" w14:textId="77777777" w:rsidR="005346ED" w:rsidRDefault="005346ED" w:rsidP="005346ED">
      <w:pPr>
        <w:pStyle w:val="ListParagraph"/>
      </w:pPr>
    </w:p>
    <w:p w14:paraId="4577E294" w14:textId="77777777" w:rsidR="00CA78D5" w:rsidRDefault="00CF2547" w:rsidP="009D67C8">
      <w:pPr>
        <w:numPr>
          <w:ilvl w:val="1"/>
          <w:numId w:val="8"/>
        </w:numPr>
      </w:pPr>
      <w:r>
        <w:t xml:space="preserve">From the </w:t>
      </w:r>
      <w:r w:rsidR="005346ED">
        <w:t>1</w:t>
      </w:r>
      <w:r w:rsidR="005346ED" w:rsidRPr="005346ED">
        <w:rPr>
          <w:vertAlign w:val="superscript"/>
        </w:rPr>
        <w:t>st of</w:t>
      </w:r>
      <w:r>
        <w:t xml:space="preserve"> April 2022 l</w:t>
      </w:r>
      <w:r w:rsidR="00CA78D5">
        <w:t xml:space="preserve">ocal Authorities are able to apply for capital funding from the LTA and Department Digital, Culture, Media and Sport (DCMS) Renovation Fund to renovate </w:t>
      </w:r>
      <w:r w:rsidR="00FD0A81">
        <w:t xml:space="preserve">tennis courts in parks. Total funding of £30 million is being made available </w:t>
      </w:r>
      <w:r>
        <w:t xml:space="preserve">until 2024 </w:t>
      </w:r>
      <w:r w:rsidR="00FD0A81">
        <w:t xml:space="preserve">to bring courts up to a playable standard and to increase the number of people playing tennis and to provide more tennis coaching </w:t>
      </w:r>
      <w:r>
        <w:t xml:space="preserve">and competitive tennis </w:t>
      </w:r>
      <w:r w:rsidR="00FD0A81">
        <w:t xml:space="preserve">opportunities. Local Authorities can apply for funding to repair and resurface the courts, repair fencing, and to install gate access technology. The funding programme also enables the introduction of an online booking </w:t>
      </w:r>
      <w:r>
        <w:t>system</w:t>
      </w:r>
      <w:r w:rsidR="00FD0A81">
        <w:t>.</w:t>
      </w:r>
      <w:r w:rsidR="00B65D71">
        <w:t xml:space="preserve"> </w:t>
      </w:r>
      <w:r w:rsidR="00B852A3">
        <w:t>Whilst local authorities can include match funding as part of their application t</w:t>
      </w:r>
      <w:r w:rsidR="00B65D71">
        <w:t>here is no require</w:t>
      </w:r>
      <w:r w:rsidR="00B852A3">
        <w:t>ment to do so</w:t>
      </w:r>
      <w:r w:rsidR="00BB7134">
        <w:t>.</w:t>
      </w:r>
      <w:r w:rsidR="00FD0A81">
        <w:t xml:space="preserve"> Local authorities need to confirm their agreement to fund </w:t>
      </w:r>
      <w:r w:rsidR="00650BE0">
        <w:t xml:space="preserve">a sinking fund, </w:t>
      </w:r>
      <w:r w:rsidR="00FD0A81">
        <w:t xml:space="preserve">ongoing maintenance costs, </w:t>
      </w:r>
      <w:r w:rsidR="00723486">
        <w:t>as well as</w:t>
      </w:r>
      <w:r w:rsidR="00FD0A81">
        <w:t xml:space="preserve"> the ongoing costs associated with the access gates. The introduction of pay and play will ensure that the courts can be maintained to a good standard with the income generated being reinvested into the courts. </w:t>
      </w:r>
      <w:r w:rsidR="000226A6">
        <w:t>The sinkin</w:t>
      </w:r>
      <w:r w:rsidR="005313BA">
        <w:t xml:space="preserve">g fund would be funding that would be kept aside by the Council each year so that when the courts need resurfacing </w:t>
      </w:r>
      <w:r w:rsidR="00937BE3">
        <w:t xml:space="preserve">at the end of their life (usually 10-15 years, depending on their usage) there will be </w:t>
      </w:r>
      <w:r w:rsidR="004B630B">
        <w:lastRenderedPageBreak/>
        <w:t xml:space="preserve">funding available for this. The LTA requires </w:t>
      </w:r>
      <w:r w:rsidR="00AC374F">
        <w:t xml:space="preserve">local authorities to maintain a sinking fund </w:t>
      </w:r>
      <w:r w:rsidR="003E6EE8">
        <w:t>of £1,200 per court per annum.</w:t>
      </w:r>
    </w:p>
    <w:p w14:paraId="233C2C9F" w14:textId="77777777" w:rsidR="0005693B" w:rsidRDefault="0005693B" w:rsidP="009D67C8"/>
    <w:p w14:paraId="568895F8" w14:textId="77777777" w:rsidR="00804899" w:rsidRDefault="00804899" w:rsidP="009D67C8"/>
    <w:p w14:paraId="5C2E096F" w14:textId="77777777" w:rsidR="009D67C8" w:rsidRDefault="009D67C8" w:rsidP="005346ED">
      <w:pPr>
        <w:pStyle w:val="ListParagraph"/>
        <w:numPr>
          <w:ilvl w:val="0"/>
          <w:numId w:val="8"/>
        </w:numPr>
        <w:rPr>
          <w:b/>
          <w:bCs/>
          <w:sz w:val="28"/>
          <w:szCs w:val="28"/>
        </w:rPr>
      </w:pPr>
      <w:r>
        <w:rPr>
          <w:b/>
          <w:bCs/>
          <w:sz w:val="28"/>
          <w:szCs w:val="28"/>
        </w:rPr>
        <w:t>Why a Change is Needed</w:t>
      </w:r>
    </w:p>
    <w:p w14:paraId="6D2CC67B" w14:textId="77777777" w:rsidR="005346ED" w:rsidRDefault="005346ED" w:rsidP="002A21E8">
      <w:pPr>
        <w:rPr>
          <w:b/>
          <w:bCs/>
          <w:sz w:val="28"/>
          <w:szCs w:val="28"/>
        </w:rPr>
      </w:pPr>
    </w:p>
    <w:p w14:paraId="69C750BF" w14:textId="77777777" w:rsidR="002A21E8" w:rsidRDefault="00CF2547" w:rsidP="005346ED">
      <w:pPr>
        <w:numPr>
          <w:ilvl w:val="1"/>
          <w:numId w:val="8"/>
        </w:numPr>
        <w:rPr>
          <w:szCs w:val="24"/>
        </w:rPr>
      </w:pPr>
      <w:r>
        <w:rPr>
          <w:szCs w:val="24"/>
        </w:rPr>
        <w:t xml:space="preserve">The tennis courts in </w:t>
      </w:r>
      <w:r w:rsidR="00723486">
        <w:rPr>
          <w:szCs w:val="24"/>
        </w:rPr>
        <w:t>several of</w:t>
      </w:r>
      <w:r w:rsidR="00F02512">
        <w:rPr>
          <w:szCs w:val="24"/>
        </w:rPr>
        <w:t xml:space="preserve"> </w:t>
      </w:r>
      <w:r>
        <w:rPr>
          <w:szCs w:val="24"/>
        </w:rPr>
        <w:t>Harrow’s parks are</w:t>
      </w:r>
      <w:r w:rsidR="002A21E8">
        <w:rPr>
          <w:szCs w:val="24"/>
        </w:rPr>
        <w:t xml:space="preserve"> </w:t>
      </w:r>
      <w:r w:rsidR="00F02512">
        <w:rPr>
          <w:szCs w:val="24"/>
        </w:rPr>
        <w:t xml:space="preserve">in an unplayable, very poor or poor condition. The Council </w:t>
      </w:r>
      <w:r w:rsidR="00F12F9B" w:rsidRPr="00B24BA1">
        <w:rPr>
          <w:szCs w:val="24"/>
        </w:rPr>
        <w:t>does not have the</w:t>
      </w:r>
      <w:r w:rsidR="00F12F9B">
        <w:rPr>
          <w:szCs w:val="24"/>
        </w:rPr>
        <w:t xml:space="preserve"> </w:t>
      </w:r>
      <w:r w:rsidR="00F02512">
        <w:rPr>
          <w:szCs w:val="24"/>
        </w:rPr>
        <w:t xml:space="preserve">capital funding available to bring these courts up to a playable standard, and limited maintenance budget available to maintain all the courts to their present condition. </w:t>
      </w:r>
      <w:r w:rsidR="002A21E8">
        <w:rPr>
          <w:szCs w:val="24"/>
        </w:rPr>
        <w:t xml:space="preserve">The </w:t>
      </w:r>
      <w:r w:rsidR="00034F3E">
        <w:rPr>
          <w:szCs w:val="24"/>
        </w:rPr>
        <w:t>tennis courts</w:t>
      </w:r>
      <w:r w:rsidR="00E9738F">
        <w:rPr>
          <w:szCs w:val="24"/>
        </w:rPr>
        <w:t xml:space="preserve"> (</w:t>
      </w:r>
      <w:r w:rsidR="00BE7BCA">
        <w:rPr>
          <w:szCs w:val="24"/>
        </w:rPr>
        <w:t xml:space="preserve">37 </w:t>
      </w:r>
      <w:r w:rsidR="00E9738F">
        <w:rPr>
          <w:szCs w:val="24"/>
        </w:rPr>
        <w:t>in total)</w:t>
      </w:r>
      <w:r w:rsidR="00034F3E">
        <w:rPr>
          <w:szCs w:val="24"/>
        </w:rPr>
        <w:t xml:space="preserve"> </w:t>
      </w:r>
      <w:r w:rsidR="00A26153">
        <w:rPr>
          <w:szCs w:val="24"/>
        </w:rPr>
        <w:t xml:space="preserve">in Harrow </w:t>
      </w:r>
      <w:r w:rsidR="00034F3E">
        <w:rPr>
          <w:szCs w:val="24"/>
        </w:rPr>
        <w:t xml:space="preserve">identified </w:t>
      </w:r>
      <w:r w:rsidR="00487754">
        <w:rPr>
          <w:szCs w:val="24"/>
        </w:rPr>
        <w:t xml:space="preserve">as </w:t>
      </w:r>
      <w:r w:rsidR="00723486">
        <w:rPr>
          <w:szCs w:val="24"/>
        </w:rPr>
        <w:t xml:space="preserve">forming </w:t>
      </w:r>
      <w:r w:rsidR="00487754">
        <w:rPr>
          <w:szCs w:val="24"/>
        </w:rPr>
        <w:t>part of an application for</w:t>
      </w:r>
      <w:r w:rsidR="00034F3E">
        <w:rPr>
          <w:szCs w:val="24"/>
        </w:rPr>
        <w:t xml:space="preserve"> investment from the LTA’s renovation fund are as follows:</w:t>
      </w:r>
    </w:p>
    <w:p w14:paraId="1E71972A" w14:textId="77777777" w:rsidR="00F02512" w:rsidRDefault="00F02512" w:rsidP="002A21E8">
      <w:pPr>
        <w:rPr>
          <w:szCs w:val="24"/>
        </w:rPr>
      </w:pPr>
    </w:p>
    <w:tbl>
      <w:tblPr>
        <w:tblW w:w="7655"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617"/>
        <w:gridCol w:w="2170"/>
      </w:tblGrid>
      <w:tr w:rsidR="00487754" w14:paraId="06F7344D" w14:textId="77777777" w:rsidTr="005346ED">
        <w:tc>
          <w:tcPr>
            <w:tcW w:w="3868" w:type="dxa"/>
            <w:shd w:val="clear" w:color="auto" w:fill="auto"/>
          </w:tcPr>
          <w:p w14:paraId="06C0EFB1" w14:textId="77777777" w:rsidR="00487754" w:rsidRPr="00DC2956" w:rsidRDefault="00487754" w:rsidP="002A21E8">
            <w:pPr>
              <w:rPr>
                <w:b/>
                <w:bCs/>
                <w:szCs w:val="24"/>
              </w:rPr>
            </w:pPr>
            <w:r w:rsidRPr="00DC2956">
              <w:rPr>
                <w:b/>
                <w:bCs/>
                <w:szCs w:val="24"/>
              </w:rPr>
              <w:t>Park</w:t>
            </w:r>
          </w:p>
        </w:tc>
        <w:tc>
          <w:tcPr>
            <w:tcW w:w="1617" w:type="dxa"/>
            <w:shd w:val="clear" w:color="auto" w:fill="auto"/>
          </w:tcPr>
          <w:p w14:paraId="32B80D14" w14:textId="77777777" w:rsidR="00487754" w:rsidRPr="00DC2956" w:rsidRDefault="00487754" w:rsidP="002A21E8">
            <w:pPr>
              <w:rPr>
                <w:b/>
                <w:bCs/>
                <w:szCs w:val="24"/>
              </w:rPr>
            </w:pPr>
            <w:r w:rsidRPr="00DC2956">
              <w:rPr>
                <w:b/>
                <w:bCs/>
                <w:szCs w:val="24"/>
              </w:rPr>
              <w:t xml:space="preserve">Number of </w:t>
            </w:r>
          </w:p>
          <w:p w14:paraId="59DA7F72" w14:textId="77777777" w:rsidR="00487754" w:rsidRPr="00DC2956" w:rsidRDefault="00487754" w:rsidP="002A21E8">
            <w:pPr>
              <w:rPr>
                <w:b/>
                <w:bCs/>
                <w:szCs w:val="24"/>
              </w:rPr>
            </w:pPr>
            <w:r w:rsidRPr="00DC2956">
              <w:rPr>
                <w:b/>
                <w:bCs/>
                <w:szCs w:val="24"/>
              </w:rPr>
              <w:t>Courts</w:t>
            </w:r>
          </w:p>
        </w:tc>
        <w:tc>
          <w:tcPr>
            <w:tcW w:w="2170" w:type="dxa"/>
            <w:shd w:val="clear" w:color="auto" w:fill="auto"/>
          </w:tcPr>
          <w:p w14:paraId="2E5827AF" w14:textId="77777777" w:rsidR="00487754" w:rsidRPr="00DC2956" w:rsidRDefault="00487754" w:rsidP="002A21E8">
            <w:pPr>
              <w:rPr>
                <w:b/>
                <w:bCs/>
                <w:szCs w:val="24"/>
              </w:rPr>
            </w:pPr>
            <w:r w:rsidRPr="00DC2956">
              <w:rPr>
                <w:b/>
                <w:bCs/>
                <w:szCs w:val="24"/>
              </w:rPr>
              <w:t>Current Condition</w:t>
            </w:r>
          </w:p>
        </w:tc>
      </w:tr>
      <w:tr w:rsidR="00487754" w14:paraId="3DB9566C" w14:textId="77777777" w:rsidTr="005346ED">
        <w:tc>
          <w:tcPr>
            <w:tcW w:w="3868" w:type="dxa"/>
            <w:shd w:val="clear" w:color="auto" w:fill="auto"/>
          </w:tcPr>
          <w:p w14:paraId="549E2BA3" w14:textId="77777777" w:rsidR="00487754" w:rsidRPr="00DC2956" w:rsidRDefault="00487754" w:rsidP="002A21E8">
            <w:pPr>
              <w:rPr>
                <w:szCs w:val="24"/>
              </w:rPr>
            </w:pPr>
            <w:r w:rsidRPr="00DC2956">
              <w:rPr>
                <w:szCs w:val="24"/>
              </w:rPr>
              <w:t>Byron Recreation Ground</w:t>
            </w:r>
          </w:p>
        </w:tc>
        <w:tc>
          <w:tcPr>
            <w:tcW w:w="1617" w:type="dxa"/>
            <w:shd w:val="clear" w:color="auto" w:fill="auto"/>
          </w:tcPr>
          <w:p w14:paraId="52FCF8DC" w14:textId="77777777" w:rsidR="00487754" w:rsidRPr="00DC2956" w:rsidRDefault="00487754" w:rsidP="002A21E8">
            <w:pPr>
              <w:rPr>
                <w:szCs w:val="24"/>
              </w:rPr>
            </w:pPr>
            <w:r w:rsidRPr="00DC2956">
              <w:rPr>
                <w:szCs w:val="24"/>
              </w:rPr>
              <w:t>3</w:t>
            </w:r>
          </w:p>
        </w:tc>
        <w:tc>
          <w:tcPr>
            <w:tcW w:w="2170" w:type="dxa"/>
            <w:shd w:val="clear" w:color="auto" w:fill="auto"/>
          </w:tcPr>
          <w:p w14:paraId="4DE3F84C" w14:textId="77777777" w:rsidR="00487754" w:rsidRPr="00DC2956" w:rsidRDefault="00487754" w:rsidP="002A21E8">
            <w:pPr>
              <w:rPr>
                <w:szCs w:val="24"/>
              </w:rPr>
            </w:pPr>
            <w:r w:rsidRPr="00DC2956">
              <w:rPr>
                <w:szCs w:val="24"/>
              </w:rPr>
              <w:t>Unplayable</w:t>
            </w:r>
          </w:p>
        </w:tc>
      </w:tr>
      <w:tr w:rsidR="002F36D2" w14:paraId="1C0F4662" w14:textId="77777777" w:rsidTr="005346ED">
        <w:tc>
          <w:tcPr>
            <w:tcW w:w="3868" w:type="dxa"/>
            <w:shd w:val="clear" w:color="auto" w:fill="auto"/>
          </w:tcPr>
          <w:p w14:paraId="0A354CC6" w14:textId="77777777" w:rsidR="002F36D2" w:rsidRPr="00DC2956" w:rsidRDefault="002F36D2" w:rsidP="002A21E8">
            <w:pPr>
              <w:rPr>
                <w:szCs w:val="24"/>
              </w:rPr>
            </w:pPr>
            <w:r w:rsidRPr="00DC2956">
              <w:rPr>
                <w:szCs w:val="24"/>
              </w:rPr>
              <w:t>Centenary Park</w:t>
            </w:r>
          </w:p>
        </w:tc>
        <w:tc>
          <w:tcPr>
            <w:tcW w:w="1617" w:type="dxa"/>
            <w:shd w:val="clear" w:color="auto" w:fill="auto"/>
          </w:tcPr>
          <w:p w14:paraId="39CEEBBF" w14:textId="77777777" w:rsidR="002F36D2" w:rsidRPr="00DC2956" w:rsidRDefault="002F36D2" w:rsidP="002A21E8">
            <w:pPr>
              <w:rPr>
                <w:szCs w:val="24"/>
              </w:rPr>
            </w:pPr>
            <w:r w:rsidRPr="00DC2956">
              <w:rPr>
                <w:szCs w:val="24"/>
              </w:rPr>
              <w:t>2</w:t>
            </w:r>
          </w:p>
        </w:tc>
        <w:tc>
          <w:tcPr>
            <w:tcW w:w="2170" w:type="dxa"/>
            <w:shd w:val="clear" w:color="auto" w:fill="auto"/>
          </w:tcPr>
          <w:p w14:paraId="5236D17B" w14:textId="77777777" w:rsidR="002F36D2" w:rsidRPr="00DC2956" w:rsidRDefault="002F36D2" w:rsidP="002A21E8">
            <w:pPr>
              <w:rPr>
                <w:szCs w:val="24"/>
              </w:rPr>
            </w:pPr>
            <w:r w:rsidRPr="00DC2956">
              <w:rPr>
                <w:szCs w:val="24"/>
              </w:rPr>
              <w:t>Unplayable</w:t>
            </w:r>
          </w:p>
        </w:tc>
      </w:tr>
      <w:tr w:rsidR="00487754" w14:paraId="7E65351E" w14:textId="77777777" w:rsidTr="005346ED">
        <w:tc>
          <w:tcPr>
            <w:tcW w:w="3868" w:type="dxa"/>
            <w:shd w:val="clear" w:color="auto" w:fill="auto"/>
          </w:tcPr>
          <w:p w14:paraId="110BEA42" w14:textId="77777777" w:rsidR="00487754" w:rsidRPr="00DC2956" w:rsidRDefault="00487754" w:rsidP="002A21E8">
            <w:pPr>
              <w:rPr>
                <w:szCs w:val="24"/>
              </w:rPr>
            </w:pPr>
            <w:proofErr w:type="spellStart"/>
            <w:r w:rsidRPr="00DC2956">
              <w:rPr>
                <w:szCs w:val="24"/>
              </w:rPr>
              <w:t>Chandos</w:t>
            </w:r>
            <w:proofErr w:type="spellEnd"/>
            <w:r w:rsidRPr="00DC2956">
              <w:rPr>
                <w:szCs w:val="24"/>
              </w:rPr>
              <w:t xml:space="preserve"> Recreation Ground</w:t>
            </w:r>
          </w:p>
        </w:tc>
        <w:tc>
          <w:tcPr>
            <w:tcW w:w="1617" w:type="dxa"/>
            <w:shd w:val="clear" w:color="auto" w:fill="auto"/>
          </w:tcPr>
          <w:p w14:paraId="1126927D" w14:textId="77777777" w:rsidR="00487754" w:rsidRPr="00DC2956" w:rsidRDefault="00BE7BCA" w:rsidP="002A21E8">
            <w:pPr>
              <w:rPr>
                <w:szCs w:val="24"/>
              </w:rPr>
            </w:pPr>
            <w:r>
              <w:rPr>
                <w:szCs w:val="24"/>
              </w:rPr>
              <w:t>3</w:t>
            </w:r>
          </w:p>
        </w:tc>
        <w:tc>
          <w:tcPr>
            <w:tcW w:w="2170" w:type="dxa"/>
            <w:shd w:val="clear" w:color="auto" w:fill="auto"/>
          </w:tcPr>
          <w:p w14:paraId="0FCE74D8" w14:textId="77777777" w:rsidR="00487754" w:rsidRPr="00DC2956" w:rsidRDefault="00487754" w:rsidP="002A21E8">
            <w:pPr>
              <w:rPr>
                <w:szCs w:val="24"/>
              </w:rPr>
            </w:pPr>
            <w:r w:rsidRPr="00DC2956">
              <w:rPr>
                <w:szCs w:val="24"/>
              </w:rPr>
              <w:t>Average</w:t>
            </w:r>
          </w:p>
        </w:tc>
      </w:tr>
      <w:tr w:rsidR="00487754" w14:paraId="1646E01A" w14:textId="77777777" w:rsidTr="005346ED">
        <w:tc>
          <w:tcPr>
            <w:tcW w:w="3868" w:type="dxa"/>
            <w:shd w:val="clear" w:color="auto" w:fill="auto"/>
          </w:tcPr>
          <w:p w14:paraId="0BB3B803" w14:textId="77777777" w:rsidR="00487754" w:rsidRPr="00DC2956" w:rsidRDefault="00487754" w:rsidP="002A21E8">
            <w:pPr>
              <w:rPr>
                <w:szCs w:val="24"/>
              </w:rPr>
            </w:pPr>
            <w:r w:rsidRPr="00DC2956">
              <w:rPr>
                <w:szCs w:val="24"/>
              </w:rPr>
              <w:t>Harrow Recreation Ground</w:t>
            </w:r>
          </w:p>
        </w:tc>
        <w:tc>
          <w:tcPr>
            <w:tcW w:w="1617" w:type="dxa"/>
            <w:shd w:val="clear" w:color="auto" w:fill="auto"/>
          </w:tcPr>
          <w:p w14:paraId="08A7052A" w14:textId="77777777" w:rsidR="00487754" w:rsidRPr="00DC2956" w:rsidRDefault="00487754" w:rsidP="002A21E8">
            <w:pPr>
              <w:rPr>
                <w:szCs w:val="24"/>
              </w:rPr>
            </w:pPr>
            <w:r w:rsidRPr="00DC2956">
              <w:rPr>
                <w:szCs w:val="24"/>
              </w:rPr>
              <w:t>4</w:t>
            </w:r>
          </w:p>
        </w:tc>
        <w:tc>
          <w:tcPr>
            <w:tcW w:w="2170" w:type="dxa"/>
            <w:shd w:val="clear" w:color="auto" w:fill="auto"/>
          </w:tcPr>
          <w:p w14:paraId="0A7DC6F8" w14:textId="77777777" w:rsidR="00487754" w:rsidRPr="00DC2956" w:rsidRDefault="00487754" w:rsidP="002A21E8">
            <w:pPr>
              <w:rPr>
                <w:szCs w:val="24"/>
              </w:rPr>
            </w:pPr>
            <w:r w:rsidRPr="00DC2956">
              <w:rPr>
                <w:szCs w:val="24"/>
              </w:rPr>
              <w:t>Very Poor</w:t>
            </w:r>
          </w:p>
        </w:tc>
      </w:tr>
      <w:tr w:rsidR="00487754" w14:paraId="4F6EC1FF" w14:textId="77777777" w:rsidTr="005346ED">
        <w:tc>
          <w:tcPr>
            <w:tcW w:w="3868" w:type="dxa"/>
            <w:shd w:val="clear" w:color="auto" w:fill="auto"/>
          </w:tcPr>
          <w:p w14:paraId="38100E47" w14:textId="77777777" w:rsidR="00487754" w:rsidRPr="00DC2956" w:rsidRDefault="00487754" w:rsidP="002A21E8">
            <w:pPr>
              <w:rPr>
                <w:szCs w:val="24"/>
              </w:rPr>
            </w:pPr>
            <w:r w:rsidRPr="00DC2956">
              <w:rPr>
                <w:szCs w:val="24"/>
              </w:rPr>
              <w:t>Harrow Weald Recreation Ground</w:t>
            </w:r>
          </w:p>
        </w:tc>
        <w:tc>
          <w:tcPr>
            <w:tcW w:w="1617" w:type="dxa"/>
            <w:shd w:val="clear" w:color="auto" w:fill="auto"/>
          </w:tcPr>
          <w:p w14:paraId="5B00828C" w14:textId="77777777" w:rsidR="00487754" w:rsidRPr="00DC2956" w:rsidRDefault="00487754" w:rsidP="002A21E8">
            <w:pPr>
              <w:rPr>
                <w:szCs w:val="24"/>
              </w:rPr>
            </w:pPr>
            <w:r w:rsidRPr="00DC2956">
              <w:rPr>
                <w:szCs w:val="24"/>
              </w:rPr>
              <w:t>4</w:t>
            </w:r>
          </w:p>
        </w:tc>
        <w:tc>
          <w:tcPr>
            <w:tcW w:w="2170" w:type="dxa"/>
            <w:shd w:val="clear" w:color="auto" w:fill="auto"/>
          </w:tcPr>
          <w:p w14:paraId="3D9D1D03" w14:textId="77777777" w:rsidR="00487754" w:rsidRPr="00DC2956" w:rsidRDefault="00487754" w:rsidP="002A21E8">
            <w:pPr>
              <w:rPr>
                <w:szCs w:val="24"/>
              </w:rPr>
            </w:pPr>
            <w:r w:rsidRPr="00DC2956">
              <w:rPr>
                <w:szCs w:val="24"/>
              </w:rPr>
              <w:t>Average</w:t>
            </w:r>
          </w:p>
        </w:tc>
      </w:tr>
      <w:tr w:rsidR="00487754" w14:paraId="3383EFDA" w14:textId="77777777" w:rsidTr="005346ED">
        <w:tc>
          <w:tcPr>
            <w:tcW w:w="3868" w:type="dxa"/>
            <w:shd w:val="clear" w:color="auto" w:fill="auto"/>
          </w:tcPr>
          <w:p w14:paraId="67153F88" w14:textId="77777777" w:rsidR="00487754" w:rsidRPr="00DC2956" w:rsidRDefault="00487754" w:rsidP="002A21E8">
            <w:pPr>
              <w:rPr>
                <w:szCs w:val="24"/>
              </w:rPr>
            </w:pPr>
            <w:r w:rsidRPr="00DC2956">
              <w:rPr>
                <w:szCs w:val="24"/>
              </w:rPr>
              <w:t>Headstone Manor Recreation Ground</w:t>
            </w:r>
          </w:p>
        </w:tc>
        <w:tc>
          <w:tcPr>
            <w:tcW w:w="1617" w:type="dxa"/>
            <w:shd w:val="clear" w:color="auto" w:fill="auto"/>
          </w:tcPr>
          <w:p w14:paraId="353333D3" w14:textId="77777777" w:rsidR="00487754" w:rsidRPr="00DC2956" w:rsidRDefault="00487754" w:rsidP="002A21E8">
            <w:pPr>
              <w:rPr>
                <w:szCs w:val="24"/>
              </w:rPr>
            </w:pPr>
            <w:r w:rsidRPr="00DC2956">
              <w:rPr>
                <w:szCs w:val="24"/>
              </w:rPr>
              <w:t>6</w:t>
            </w:r>
          </w:p>
        </w:tc>
        <w:tc>
          <w:tcPr>
            <w:tcW w:w="2170" w:type="dxa"/>
            <w:shd w:val="clear" w:color="auto" w:fill="auto"/>
          </w:tcPr>
          <w:p w14:paraId="08580351" w14:textId="77777777" w:rsidR="00487754" w:rsidRPr="00DC2956" w:rsidRDefault="00487754" w:rsidP="002A21E8">
            <w:pPr>
              <w:rPr>
                <w:szCs w:val="24"/>
              </w:rPr>
            </w:pPr>
            <w:r w:rsidRPr="00DC2956">
              <w:rPr>
                <w:szCs w:val="24"/>
              </w:rPr>
              <w:t>Unplayable</w:t>
            </w:r>
          </w:p>
        </w:tc>
      </w:tr>
      <w:tr w:rsidR="00487754" w14:paraId="487758E2" w14:textId="77777777" w:rsidTr="005346ED">
        <w:tc>
          <w:tcPr>
            <w:tcW w:w="3868" w:type="dxa"/>
            <w:shd w:val="clear" w:color="auto" w:fill="auto"/>
          </w:tcPr>
          <w:p w14:paraId="6795453A" w14:textId="77777777" w:rsidR="00487754" w:rsidRPr="00DC2956" w:rsidRDefault="00487754" w:rsidP="002A21E8">
            <w:pPr>
              <w:rPr>
                <w:szCs w:val="24"/>
              </w:rPr>
            </w:pPr>
            <w:r w:rsidRPr="00DC2956">
              <w:rPr>
                <w:szCs w:val="24"/>
              </w:rPr>
              <w:t>Kenton Recreation Ground</w:t>
            </w:r>
          </w:p>
        </w:tc>
        <w:tc>
          <w:tcPr>
            <w:tcW w:w="1617" w:type="dxa"/>
            <w:shd w:val="clear" w:color="auto" w:fill="auto"/>
          </w:tcPr>
          <w:p w14:paraId="648DA366" w14:textId="77777777" w:rsidR="00487754" w:rsidRPr="00DC2956" w:rsidRDefault="00487754" w:rsidP="002A21E8">
            <w:pPr>
              <w:rPr>
                <w:szCs w:val="24"/>
              </w:rPr>
            </w:pPr>
            <w:r w:rsidRPr="00DC2956">
              <w:rPr>
                <w:szCs w:val="24"/>
              </w:rPr>
              <w:t>2</w:t>
            </w:r>
          </w:p>
        </w:tc>
        <w:tc>
          <w:tcPr>
            <w:tcW w:w="2170" w:type="dxa"/>
            <w:shd w:val="clear" w:color="auto" w:fill="auto"/>
          </w:tcPr>
          <w:p w14:paraId="28C27E63" w14:textId="77777777" w:rsidR="00487754" w:rsidRPr="00DC2956" w:rsidRDefault="00487754" w:rsidP="002A21E8">
            <w:pPr>
              <w:rPr>
                <w:szCs w:val="24"/>
              </w:rPr>
            </w:pPr>
            <w:r w:rsidRPr="00DC2956">
              <w:rPr>
                <w:szCs w:val="24"/>
              </w:rPr>
              <w:t>Average</w:t>
            </w:r>
          </w:p>
        </w:tc>
      </w:tr>
      <w:tr w:rsidR="00487754" w14:paraId="4C7CA172" w14:textId="77777777" w:rsidTr="005346ED">
        <w:tc>
          <w:tcPr>
            <w:tcW w:w="3868" w:type="dxa"/>
            <w:shd w:val="clear" w:color="auto" w:fill="auto"/>
          </w:tcPr>
          <w:p w14:paraId="2599A36E" w14:textId="77777777" w:rsidR="00487754" w:rsidRPr="00DC2956" w:rsidRDefault="00487754" w:rsidP="002A21E8">
            <w:pPr>
              <w:rPr>
                <w:szCs w:val="24"/>
              </w:rPr>
            </w:pPr>
            <w:proofErr w:type="spellStart"/>
            <w:r w:rsidRPr="00DC2956">
              <w:rPr>
                <w:szCs w:val="24"/>
              </w:rPr>
              <w:t>Montesole</w:t>
            </w:r>
            <w:proofErr w:type="spellEnd"/>
            <w:r w:rsidRPr="00DC2956">
              <w:rPr>
                <w:szCs w:val="24"/>
              </w:rPr>
              <w:t xml:space="preserve"> Playing Fields</w:t>
            </w:r>
          </w:p>
        </w:tc>
        <w:tc>
          <w:tcPr>
            <w:tcW w:w="1617" w:type="dxa"/>
            <w:shd w:val="clear" w:color="auto" w:fill="auto"/>
          </w:tcPr>
          <w:p w14:paraId="121F77D3" w14:textId="77777777" w:rsidR="00487754" w:rsidRPr="00DC2956" w:rsidRDefault="00487754" w:rsidP="002A21E8">
            <w:pPr>
              <w:rPr>
                <w:szCs w:val="24"/>
              </w:rPr>
            </w:pPr>
            <w:r w:rsidRPr="00DC2956">
              <w:rPr>
                <w:szCs w:val="24"/>
              </w:rPr>
              <w:t>2</w:t>
            </w:r>
          </w:p>
        </w:tc>
        <w:tc>
          <w:tcPr>
            <w:tcW w:w="2170" w:type="dxa"/>
            <w:shd w:val="clear" w:color="auto" w:fill="auto"/>
          </w:tcPr>
          <w:p w14:paraId="5C448A5B" w14:textId="77777777" w:rsidR="00487754" w:rsidRPr="00DC2956" w:rsidRDefault="00487754" w:rsidP="002A21E8">
            <w:pPr>
              <w:rPr>
                <w:szCs w:val="24"/>
              </w:rPr>
            </w:pPr>
            <w:r w:rsidRPr="00DC2956">
              <w:rPr>
                <w:szCs w:val="24"/>
              </w:rPr>
              <w:t>Average</w:t>
            </w:r>
          </w:p>
        </w:tc>
      </w:tr>
      <w:tr w:rsidR="00487754" w14:paraId="771D2D04" w14:textId="77777777" w:rsidTr="005346ED">
        <w:tc>
          <w:tcPr>
            <w:tcW w:w="3868" w:type="dxa"/>
            <w:shd w:val="clear" w:color="auto" w:fill="auto"/>
          </w:tcPr>
          <w:p w14:paraId="644A6AD4" w14:textId="77777777" w:rsidR="00487754" w:rsidRPr="00DC2956" w:rsidRDefault="00487754" w:rsidP="002A21E8">
            <w:pPr>
              <w:rPr>
                <w:szCs w:val="24"/>
              </w:rPr>
            </w:pPr>
            <w:r w:rsidRPr="00DC2956">
              <w:rPr>
                <w:szCs w:val="24"/>
              </w:rPr>
              <w:t>Pinner Village Gardens</w:t>
            </w:r>
          </w:p>
        </w:tc>
        <w:tc>
          <w:tcPr>
            <w:tcW w:w="1617" w:type="dxa"/>
            <w:shd w:val="clear" w:color="auto" w:fill="auto"/>
          </w:tcPr>
          <w:p w14:paraId="15F12DBF" w14:textId="77777777" w:rsidR="00487754" w:rsidRPr="00DC2956" w:rsidRDefault="00487754" w:rsidP="002A21E8">
            <w:pPr>
              <w:rPr>
                <w:szCs w:val="24"/>
              </w:rPr>
            </w:pPr>
            <w:r w:rsidRPr="00DC2956">
              <w:rPr>
                <w:szCs w:val="24"/>
              </w:rPr>
              <w:t>2</w:t>
            </w:r>
          </w:p>
        </w:tc>
        <w:tc>
          <w:tcPr>
            <w:tcW w:w="2170" w:type="dxa"/>
            <w:shd w:val="clear" w:color="auto" w:fill="auto"/>
          </w:tcPr>
          <w:p w14:paraId="6074ACFC" w14:textId="77777777" w:rsidR="00487754" w:rsidRPr="00DC2956" w:rsidRDefault="00487754" w:rsidP="002A21E8">
            <w:pPr>
              <w:rPr>
                <w:szCs w:val="24"/>
              </w:rPr>
            </w:pPr>
            <w:r w:rsidRPr="00DC2956">
              <w:rPr>
                <w:szCs w:val="24"/>
              </w:rPr>
              <w:t>Good</w:t>
            </w:r>
          </w:p>
        </w:tc>
      </w:tr>
      <w:tr w:rsidR="00487754" w14:paraId="02C94834" w14:textId="77777777" w:rsidTr="005346ED">
        <w:tc>
          <w:tcPr>
            <w:tcW w:w="3868" w:type="dxa"/>
            <w:shd w:val="clear" w:color="auto" w:fill="auto"/>
          </w:tcPr>
          <w:p w14:paraId="3554DAC1" w14:textId="77777777" w:rsidR="00487754" w:rsidRPr="00DC2956" w:rsidRDefault="00487754" w:rsidP="002A21E8">
            <w:pPr>
              <w:rPr>
                <w:szCs w:val="24"/>
              </w:rPr>
            </w:pPr>
            <w:r w:rsidRPr="00DC2956">
              <w:rPr>
                <w:szCs w:val="24"/>
              </w:rPr>
              <w:t>Queensbury Recreation Ground</w:t>
            </w:r>
          </w:p>
        </w:tc>
        <w:tc>
          <w:tcPr>
            <w:tcW w:w="1617" w:type="dxa"/>
            <w:shd w:val="clear" w:color="auto" w:fill="auto"/>
          </w:tcPr>
          <w:p w14:paraId="1358F1F6" w14:textId="77777777" w:rsidR="00487754" w:rsidRPr="00DC2956" w:rsidRDefault="00487754" w:rsidP="002A21E8">
            <w:pPr>
              <w:rPr>
                <w:szCs w:val="24"/>
              </w:rPr>
            </w:pPr>
            <w:r w:rsidRPr="00DC2956">
              <w:rPr>
                <w:szCs w:val="24"/>
              </w:rPr>
              <w:t>2</w:t>
            </w:r>
          </w:p>
        </w:tc>
        <w:tc>
          <w:tcPr>
            <w:tcW w:w="2170" w:type="dxa"/>
            <w:shd w:val="clear" w:color="auto" w:fill="auto"/>
          </w:tcPr>
          <w:p w14:paraId="564727A8" w14:textId="77777777" w:rsidR="00487754" w:rsidRPr="00DC2956" w:rsidRDefault="00487754" w:rsidP="002A21E8">
            <w:pPr>
              <w:rPr>
                <w:szCs w:val="24"/>
              </w:rPr>
            </w:pPr>
            <w:r w:rsidRPr="00DC2956">
              <w:rPr>
                <w:szCs w:val="24"/>
              </w:rPr>
              <w:t>Disappeared except old fence parts and posts</w:t>
            </w:r>
          </w:p>
        </w:tc>
      </w:tr>
      <w:tr w:rsidR="00487754" w14:paraId="27B3EB17" w14:textId="77777777" w:rsidTr="005346ED">
        <w:tc>
          <w:tcPr>
            <w:tcW w:w="3868" w:type="dxa"/>
            <w:shd w:val="clear" w:color="auto" w:fill="auto"/>
          </w:tcPr>
          <w:p w14:paraId="7EE3A324" w14:textId="77777777" w:rsidR="00487754" w:rsidRPr="00DC2956" w:rsidRDefault="00487754" w:rsidP="002A21E8">
            <w:pPr>
              <w:rPr>
                <w:szCs w:val="24"/>
              </w:rPr>
            </w:pPr>
            <w:r w:rsidRPr="00DC2956">
              <w:rPr>
                <w:szCs w:val="24"/>
              </w:rPr>
              <w:t>Rayners Mead</w:t>
            </w:r>
          </w:p>
        </w:tc>
        <w:tc>
          <w:tcPr>
            <w:tcW w:w="1617" w:type="dxa"/>
            <w:shd w:val="clear" w:color="auto" w:fill="auto"/>
          </w:tcPr>
          <w:p w14:paraId="7DF69B61" w14:textId="77777777" w:rsidR="00487754" w:rsidRPr="00DC2956" w:rsidRDefault="00487754" w:rsidP="002A21E8">
            <w:pPr>
              <w:rPr>
                <w:szCs w:val="24"/>
              </w:rPr>
            </w:pPr>
            <w:r w:rsidRPr="00DC2956">
              <w:rPr>
                <w:szCs w:val="24"/>
              </w:rPr>
              <w:t>2</w:t>
            </w:r>
          </w:p>
        </w:tc>
        <w:tc>
          <w:tcPr>
            <w:tcW w:w="2170" w:type="dxa"/>
            <w:shd w:val="clear" w:color="auto" w:fill="auto"/>
          </w:tcPr>
          <w:p w14:paraId="78B3E061" w14:textId="77777777" w:rsidR="00487754" w:rsidRPr="00DC2956" w:rsidRDefault="00487754" w:rsidP="002A21E8">
            <w:pPr>
              <w:rPr>
                <w:szCs w:val="24"/>
              </w:rPr>
            </w:pPr>
            <w:r w:rsidRPr="00DC2956">
              <w:rPr>
                <w:szCs w:val="24"/>
              </w:rPr>
              <w:t>Very Good</w:t>
            </w:r>
          </w:p>
        </w:tc>
      </w:tr>
      <w:tr w:rsidR="00487754" w14:paraId="00E12D47" w14:textId="77777777" w:rsidTr="005346ED">
        <w:tc>
          <w:tcPr>
            <w:tcW w:w="3868" w:type="dxa"/>
            <w:shd w:val="clear" w:color="auto" w:fill="auto"/>
          </w:tcPr>
          <w:p w14:paraId="3C4EA2F4" w14:textId="77777777" w:rsidR="00487754" w:rsidRPr="00DC2956" w:rsidRDefault="00487754" w:rsidP="002A21E8">
            <w:pPr>
              <w:rPr>
                <w:szCs w:val="24"/>
              </w:rPr>
            </w:pPr>
            <w:proofErr w:type="spellStart"/>
            <w:r w:rsidRPr="00DC2956">
              <w:rPr>
                <w:szCs w:val="24"/>
              </w:rPr>
              <w:t>Roxeth</w:t>
            </w:r>
            <w:proofErr w:type="spellEnd"/>
            <w:r w:rsidRPr="00DC2956">
              <w:rPr>
                <w:szCs w:val="24"/>
              </w:rPr>
              <w:t xml:space="preserve"> Recreation Ground</w:t>
            </w:r>
          </w:p>
        </w:tc>
        <w:tc>
          <w:tcPr>
            <w:tcW w:w="1617" w:type="dxa"/>
            <w:shd w:val="clear" w:color="auto" w:fill="auto"/>
          </w:tcPr>
          <w:p w14:paraId="2FCE3D10" w14:textId="77777777" w:rsidR="00487754" w:rsidRPr="00DC2956" w:rsidRDefault="00487754" w:rsidP="002A21E8">
            <w:pPr>
              <w:rPr>
                <w:szCs w:val="24"/>
              </w:rPr>
            </w:pPr>
            <w:r w:rsidRPr="00DC2956">
              <w:rPr>
                <w:szCs w:val="24"/>
              </w:rPr>
              <w:t>2</w:t>
            </w:r>
          </w:p>
        </w:tc>
        <w:tc>
          <w:tcPr>
            <w:tcW w:w="2170" w:type="dxa"/>
            <w:shd w:val="clear" w:color="auto" w:fill="auto"/>
          </w:tcPr>
          <w:p w14:paraId="16096129" w14:textId="77777777" w:rsidR="00487754" w:rsidRPr="00DC2956" w:rsidRDefault="00487754" w:rsidP="002A21E8">
            <w:pPr>
              <w:rPr>
                <w:szCs w:val="24"/>
              </w:rPr>
            </w:pPr>
            <w:r w:rsidRPr="00DC2956">
              <w:rPr>
                <w:szCs w:val="24"/>
              </w:rPr>
              <w:t>Average</w:t>
            </w:r>
          </w:p>
        </w:tc>
      </w:tr>
      <w:tr w:rsidR="00487754" w14:paraId="6F34252D" w14:textId="77777777" w:rsidTr="005346ED">
        <w:tc>
          <w:tcPr>
            <w:tcW w:w="3868" w:type="dxa"/>
            <w:shd w:val="clear" w:color="auto" w:fill="auto"/>
          </w:tcPr>
          <w:p w14:paraId="5992A5ED" w14:textId="77777777" w:rsidR="00487754" w:rsidRPr="00DC2956" w:rsidRDefault="00487754" w:rsidP="002A21E8">
            <w:pPr>
              <w:rPr>
                <w:color w:val="FF0000"/>
                <w:szCs w:val="24"/>
              </w:rPr>
            </w:pPr>
            <w:r w:rsidRPr="00DC2956">
              <w:rPr>
                <w:szCs w:val="24"/>
              </w:rPr>
              <w:t>West Harrow Recreation Ground</w:t>
            </w:r>
          </w:p>
        </w:tc>
        <w:tc>
          <w:tcPr>
            <w:tcW w:w="1617" w:type="dxa"/>
            <w:shd w:val="clear" w:color="auto" w:fill="auto"/>
          </w:tcPr>
          <w:p w14:paraId="69F46A96" w14:textId="77777777" w:rsidR="00487754" w:rsidRPr="00DC2956" w:rsidRDefault="00487754" w:rsidP="002A21E8">
            <w:pPr>
              <w:rPr>
                <w:szCs w:val="24"/>
              </w:rPr>
            </w:pPr>
            <w:r w:rsidRPr="00DC2956">
              <w:rPr>
                <w:szCs w:val="24"/>
              </w:rPr>
              <w:t>3</w:t>
            </w:r>
          </w:p>
        </w:tc>
        <w:tc>
          <w:tcPr>
            <w:tcW w:w="2170" w:type="dxa"/>
            <w:shd w:val="clear" w:color="auto" w:fill="auto"/>
          </w:tcPr>
          <w:p w14:paraId="60A9DA9A" w14:textId="77777777" w:rsidR="00487754" w:rsidRPr="00DC2956" w:rsidRDefault="00487754" w:rsidP="002A21E8">
            <w:pPr>
              <w:rPr>
                <w:szCs w:val="24"/>
              </w:rPr>
            </w:pPr>
            <w:r w:rsidRPr="00DC2956">
              <w:rPr>
                <w:szCs w:val="24"/>
              </w:rPr>
              <w:t>Very Good</w:t>
            </w:r>
          </w:p>
        </w:tc>
      </w:tr>
    </w:tbl>
    <w:p w14:paraId="3E832A61" w14:textId="77777777" w:rsidR="00F02512" w:rsidRDefault="00F02512" w:rsidP="002A21E8">
      <w:pPr>
        <w:rPr>
          <w:szCs w:val="24"/>
        </w:rPr>
      </w:pPr>
    </w:p>
    <w:p w14:paraId="472E30DE" w14:textId="77777777" w:rsidR="005346ED" w:rsidRDefault="0004521C" w:rsidP="002A21E8">
      <w:pPr>
        <w:numPr>
          <w:ilvl w:val="1"/>
          <w:numId w:val="8"/>
        </w:numPr>
        <w:rPr>
          <w:szCs w:val="24"/>
        </w:rPr>
      </w:pPr>
      <w:r>
        <w:rPr>
          <w:szCs w:val="24"/>
        </w:rPr>
        <w:t xml:space="preserve">The tennis courts at </w:t>
      </w:r>
      <w:r w:rsidR="00E84A5C">
        <w:rPr>
          <w:szCs w:val="24"/>
        </w:rPr>
        <w:t xml:space="preserve">Harrow Weald </w:t>
      </w:r>
      <w:r w:rsidR="00FB287C">
        <w:rPr>
          <w:szCs w:val="24"/>
        </w:rPr>
        <w:t>Recreation Ground, Kenton Recreation Ground</w:t>
      </w:r>
      <w:r w:rsidR="00F92063">
        <w:rPr>
          <w:szCs w:val="24"/>
        </w:rPr>
        <w:t xml:space="preserve">, </w:t>
      </w:r>
      <w:r>
        <w:rPr>
          <w:szCs w:val="24"/>
        </w:rPr>
        <w:t xml:space="preserve">Pinner Village Gardens, Rayners Mead, </w:t>
      </w:r>
      <w:proofErr w:type="spellStart"/>
      <w:r w:rsidR="00F92063">
        <w:rPr>
          <w:szCs w:val="24"/>
        </w:rPr>
        <w:t>Roxeth</w:t>
      </w:r>
      <w:proofErr w:type="spellEnd"/>
      <w:r w:rsidR="00F92063">
        <w:rPr>
          <w:szCs w:val="24"/>
        </w:rPr>
        <w:t xml:space="preserve"> Recreation Ground, </w:t>
      </w:r>
      <w:r>
        <w:rPr>
          <w:szCs w:val="24"/>
        </w:rPr>
        <w:t xml:space="preserve">and </w:t>
      </w:r>
      <w:r w:rsidRPr="00A50068">
        <w:rPr>
          <w:szCs w:val="24"/>
        </w:rPr>
        <w:t>West Harrow Recreation Ground</w:t>
      </w:r>
      <w:r w:rsidRPr="00D906C2">
        <w:rPr>
          <w:color w:val="FF0000"/>
          <w:szCs w:val="24"/>
        </w:rPr>
        <w:t xml:space="preserve"> </w:t>
      </w:r>
      <w:r>
        <w:rPr>
          <w:szCs w:val="24"/>
        </w:rPr>
        <w:t xml:space="preserve">would just require the installation of a gate to enable gate access control to the courts as the courts are already in a </w:t>
      </w:r>
      <w:r w:rsidR="004C29CC">
        <w:rPr>
          <w:szCs w:val="24"/>
        </w:rPr>
        <w:t>playable condition</w:t>
      </w:r>
      <w:r>
        <w:rPr>
          <w:szCs w:val="24"/>
        </w:rPr>
        <w:t>.</w:t>
      </w:r>
      <w:r w:rsidR="00A50068">
        <w:rPr>
          <w:szCs w:val="24"/>
        </w:rPr>
        <w:t xml:space="preserve"> The </w:t>
      </w:r>
      <w:r w:rsidR="00C566A2">
        <w:rPr>
          <w:szCs w:val="24"/>
        </w:rPr>
        <w:t xml:space="preserve">pricing strategy </w:t>
      </w:r>
      <w:r w:rsidR="00781768">
        <w:rPr>
          <w:szCs w:val="24"/>
        </w:rPr>
        <w:t>to be introduced</w:t>
      </w:r>
      <w:r w:rsidR="00C566A2">
        <w:rPr>
          <w:szCs w:val="24"/>
        </w:rPr>
        <w:t xml:space="preserve"> for the </w:t>
      </w:r>
      <w:r w:rsidR="00781768">
        <w:rPr>
          <w:szCs w:val="24"/>
        </w:rPr>
        <w:t xml:space="preserve">tennis courts </w:t>
      </w:r>
      <w:r w:rsidR="00C566A2">
        <w:rPr>
          <w:szCs w:val="24"/>
        </w:rPr>
        <w:t>at West Harrow Recreation Ground</w:t>
      </w:r>
      <w:r w:rsidR="00781768">
        <w:rPr>
          <w:szCs w:val="24"/>
        </w:rPr>
        <w:t xml:space="preserve"> will be dependent on the current </w:t>
      </w:r>
      <w:r w:rsidR="007F2F77">
        <w:rPr>
          <w:szCs w:val="24"/>
        </w:rPr>
        <w:t xml:space="preserve">grant agreement in place with the London Marathon Trust Fund </w:t>
      </w:r>
      <w:r w:rsidR="00D30BAD">
        <w:rPr>
          <w:szCs w:val="24"/>
        </w:rPr>
        <w:t>for these courts.</w:t>
      </w:r>
    </w:p>
    <w:p w14:paraId="52158725" w14:textId="77777777" w:rsidR="005346ED" w:rsidRDefault="005346ED" w:rsidP="005346ED">
      <w:pPr>
        <w:ind w:left="1080"/>
        <w:rPr>
          <w:szCs w:val="24"/>
        </w:rPr>
      </w:pPr>
    </w:p>
    <w:p w14:paraId="1EEE6FC2" w14:textId="77777777" w:rsidR="005346ED" w:rsidRDefault="00034F3E" w:rsidP="002A21E8">
      <w:pPr>
        <w:numPr>
          <w:ilvl w:val="1"/>
          <w:numId w:val="8"/>
        </w:numPr>
        <w:rPr>
          <w:szCs w:val="24"/>
        </w:rPr>
      </w:pPr>
      <w:r w:rsidRPr="005346ED">
        <w:rPr>
          <w:szCs w:val="24"/>
        </w:rPr>
        <w:t xml:space="preserve">The LTA’s penetration rates </w:t>
      </w:r>
      <w:r w:rsidR="00636668" w:rsidRPr="005346ED">
        <w:rPr>
          <w:szCs w:val="24"/>
        </w:rPr>
        <w:t xml:space="preserve">(which identify the potential number of users of the tennis courts in the parks) </w:t>
      </w:r>
      <w:r w:rsidRPr="005346ED">
        <w:rPr>
          <w:szCs w:val="24"/>
        </w:rPr>
        <w:t>have</w:t>
      </w:r>
      <w:r w:rsidR="00636668" w:rsidRPr="005346ED">
        <w:rPr>
          <w:szCs w:val="24"/>
        </w:rPr>
        <w:t xml:space="preserve"> established</w:t>
      </w:r>
      <w:r w:rsidRPr="005346ED">
        <w:rPr>
          <w:szCs w:val="24"/>
        </w:rPr>
        <w:t xml:space="preserve"> that the courts at all the</w:t>
      </w:r>
      <w:r w:rsidR="00636668" w:rsidRPr="005346ED">
        <w:rPr>
          <w:szCs w:val="24"/>
        </w:rPr>
        <w:t xml:space="preserve"> proposed</w:t>
      </w:r>
      <w:r w:rsidRPr="005346ED">
        <w:rPr>
          <w:szCs w:val="24"/>
        </w:rPr>
        <w:t xml:space="preserve"> parks would have a high level of demand from the resident population in </w:t>
      </w:r>
      <w:r w:rsidR="00636668" w:rsidRPr="005346ED">
        <w:rPr>
          <w:szCs w:val="24"/>
        </w:rPr>
        <w:t xml:space="preserve">the local </w:t>
      </w:r>
      <w:r w:rsidRPr="005346ED">
        <w:rPr>
          <w:szCs w:val="24"/>
        </w:rPr>
        <w:t>areas</w:t>
      </w:r>
      <w:r w:rsidR="0004521C" w:rsidRPr="005346ED">
        <w:rPr>
          <w:szCs w:val="24"/>
        </w:rPr>
        <w:t>, with all having penetration rates of over 1000</w:t>
      </w:r>
      <w:r w:rsidRPr="005346ED">
        <w:rPr>
          <w:szCs w:val="24"/>
        </w:rPr>
        <w:t>.</w:t>
      </w:r>
      <w:r w:rsidR="004C29CC" w:rsidRPr="005346ED">
        <w:rPr>
          <w:szCs w:val="24"/>
        </w:rPr>
        <w:t xml:space="preserve"> </w:t>
      </w:r>
      <w:r w:rsidR="00896309" w:rsidRPr="005346ED">
        <w:rPr>
          <w:szCs w:val="24"/>
        </w:rPr>
        <w:t>The penetration rates have been calculated from the number of people who live within a 10</w:t>
      </w:r>
      <w:r w:rsidR="00A52E3C" w:rsidRPr="005346ED">
        <w:rPr>
          <w:szCs w:val="24"/>
        </w:rPr>
        <w:t>-</w:t>
      </w:r>
      <w:r w:rsidR="00896309" w:rsidRPr="005346ED">
        <w:rPr>
          <w:szCs w:val="24"/>
        </w:rPr>
        <w:t xml:space="preserve">minute drive from </w:t>
      </w:r>
      <w:r w:rsidR="00F64D7A" w:rsidRPr="005346ED">
        <w:rPr>
          <w:szCs w:val="24"/>
        </w:rPr>
        <w:t xml:space="preserve">the park who have been identified as </w:t>
      </w:r>
      <w:r w:rsidR="006B26B9" w:rsidRPr="005346ED">
        <w:rPr>
          <w:szCs w:val="24"/>
        </w:rPr>
        <w:t xml:space="preserve">being likely to play tennis if they had the opportunity to do so. </w:t>
      </w:r>
    </w:p>
    <w:p w14:paraId="51BAF82B" w14:textId="77777777" w:rsidR="005346ED" w:rsidRDefault="00C43FB4" w:rsidP="00C0701E">
      <w:pPr>
        <w:numPr>
          <w:ilvl w:val="1"/>
          <w:numId w:val="8"/>
        </w:numPr>
        <w:rPr>
          <w:szCs w:val="24"/>
        </w:rPr>
      </w:pPr>
      <w:r w:rsidRPr="005346ED">
        <w:rPr>
          <w:szCs w:val="24"/>
        </w:rPr>
        <w:lastRenderedPageBreak/>
        <w:t>The p</w:t>
      </w:r>
      <w:r w:rsidR="002A21E8" w:rsidRPr="005346ED">
        <w:rPr>
          <w:szCs w:val="24"/>
        </w:rPr>
        <w:t>ublic will be able to book a court in advance</w:t>
      </w:r>
      <w:r w:rsidRPr="005346ED">
        <w:rPr>
          <w:szCs w:val="24"/>
        </w:rPr>
        <w:t>, using the LTA’s preferred ‘</w:t>
      </w:r>
      <w:proofErr w:type="spellStart"/>
      <w:r w:rsidRPr="005346ED">
        <w:rPr>
          <w:szCs w:val="24"/>
        </w:rPr>
        <w:t>Clubspark</w:t>
      </w:r>
      <w:proofErr w:type="spellEnd"/>
      <w:r w:rsidRPr="005346ED">
        <w:rPr>
          <w:szCs w:val="24"/>
        </w:rPr>
        <w:t>’ booking system,</w:t>
      </w:r>
      <w:r w:rsidR="002A21E8" w:rsidRPr="005346ED">
        <w:rPr>
          <w:szCs w:val="24"/>
        </w:rPr>
        <w:t xml:space="preserve"> so that they know they will be able to </w:t>
      </w:r>
      <w:r w:rsidRPr="005346ED">
        <w:rPr>
          <w:szCs w:val="24"/>
        </w:rPr>
        <w:t>use</w:t>
      </w:r>
      <w:r w:rsidR="002A21E8" w:rsidRPr="005346ED">
        <w:rPr>
          <w:szCs w:val="24"/>
        </w:rPr>
        <w:t xml:space="preserve"> a court at a specific time and that the court will be to a good standard. </w:t>
      </w:r>
      <w:r w:rsidRPr="005346ED">
        <w:rPr>
          <w:szCs w:val="24"/>
        </w:rPr>
        <w:t xml:space="preserve">A separate online platform ‘Rally’ enables member of the public to find out where courts are available locally. </w:t>
      </w:r>
      <w:r w:rsidR="002A21E8" w:rsidRPr="005346ED">
        <w:rPr>
          <w:szCs w:val="24"/>
        </w:rPr>
        <w:t xml:space="preserve">Through the online booking app members of the public of all ages </w:t>
      </w:r>
      <w:r w:rsidR="00483349" w:rsidRPr="005346ED">
        <w:rPr>
          <w:szCs w:val="24"/>
        </w:rPr>
        <w:t xml:space="preserve">can </w:t>
      </w:r>
      <w:r w:rsidRPr="005346ED">
        <w:rPr>
          <w:szCs w:val="24"/>
        </w:rPr>
        <w:t>also</w:t>
      </w:r>
      <w:r w:rsidR="002A21E8" w:rsidRPr="005346ED">
        <w:rPr>
          <w:szCs w:val="24"/>
        </w:rPr>
        <w:t xml:space="preserve"> sign up for coaching sessions or participate in a tennis programme</w:t>
      </w:r>
      <w:r w:rsidRPr="005346ED">
        <w:rPr>
          <w:szCs w:val="24"/>
        </w:rPr>
        <w:t xml:space="preserve">. The LTA will also assist in the setting up of a competitive tennis offer in the borough by the </w:t>
      </w:r>
      <w:r w:rsidR="00483349" w:rsidRPr="005346ED">
        <w:rPr>
          <w:szCs w:val="24"/>
        </w:rPr>
        <w:t>creation</w:t>
      </w:r>
      <w:r w:rsidRPr="005346ED">
        <w:rPr>
          <w:szCs w:val="24"/>
        </w:rPr>
        <w:t xml:space="preserve"> of a local tennis league. This will enable the public to p</w:t>
      </w:r>
      <w:r w:rsidR="00483349" w:rsidRPr="005346ED">
        <w:rPr>
          <w:szCs w:val="24"/>
        </w:rPr>
        <w:t>l</w:t>
      </w:r>
      <w:r w:rsidRPr="005346ED">
        <w:rPr>
          <w:szCs w:val="24"/>
        </w:rPr>
        <w:t xml:space="preserve">ay matches against players of a similar ability. </w:t>
      </w:r>
    </w:p>
    <w:p w14:paraId="0CCF7B97" w14:textId="77777777" w:rsidR="005346ED" w:rsidRDefault="005346ED" w:rsidP="005346ED">
      <w:pPr>
        <w:pStyle w:val="ListParagraph"/>
        <w:rPr>
          <w:szCs w:val="24"/>
        </w:rPr>
      </w:pPr>
    </w:p>
    <w:p w14:paraId="0EC50DE6" w14:textId="77777777" w:rsidR="005346ED" w:rsidRDefault="00650BE0" w:rsidP="006042E2">
      <w:pPr>
        <w:numPr>
          <w:ilvl w:val="1"/>
          <w:numId w:val="8"/>
        </w:numPr>
        <w:rPr>
          <w:szCs w:val="24"/>
        </w:rPr>
      </w:pPr>
      <w:r w:rsidRPr="005346ED">
        <w:rPr>
          <w:szCs w:val="24"/>
        </w:rPr>
        <w:t xml:space="preserve">In order to ensure that the tennis courts can be maintained to a good standard and are financially sustainable in the long term a pricing strategy would be introduced. This would include pay and play periods with the income generated being reinvested into maintaining the courts including a sinking fund. </w:t>
      </w:r>
      <w:r w:rsidR="00D906C2" w:rsidRPr="005346ED">
        <w:rPr>
          <w:szCs w:val="24"/>
        </w:rPr>
        <w:t xml:space="preserve">A benchmarking exercise of hourly charge rates currently in place in other London boroughs for pay and play hours has been undertaken. In boroughs neighbouring Harrow the charge for peak hours </w:t>
      </w:r>
      <w:r w:rsidR="00483349" w:rsidRPr="005346ED">
        <w:rPr>
          <w:szCs w:val="24"/>
        </w:rPr>
        <w:t xml:space="preserve">(weekday evenings and weekends) </w:t>
      </w:r>
      <w:r w:rsidR="00D906C2" w:rsidRPr="005346ED">
        <w:rPr>
          <w:szCs w:val="24"/>
        </w:rPr>
        <w:t xml:space="preserve">varies from £4 per hour to £8 per hour. </w:t>
      </w:r>
      <w:r w:rsidR="00A26153" w:rsidRPr="005346ED">
        <w:rPr>
          <w:szCs w:val="24"/>
        </w:rPr>
        <w:t>Most</w:t>
      </w:r>
      <w:r w:rsidR="00D906C2" w:rsidRPr="005346ED">
        <w:rPr>
          <w:szCs w:val="24"/>
        </w:rPr>
        <w:t xml:space="preserve"> authorities have different pricing for peak and off-peak periods</w:t>
      </w:r>
      <w:r w:rsidR="00483349" w:rsidRPr="005346ED">
        <w:rPr>
          <w:szCs w:val="24"/>
        </w:rPr>
        <w:t xml:space="preserve"> (weekdays – daytime)</w:t>
      </w:r>
      <w:r w:rsidR="00D906C2" w:rsidRPr="005346ED">
        <w:rPr>
          <w:szCs w:val="24"/>
        </w:rPr>
        <w:t xml:space="preserve">, and some authorities have concessionary rates for those under 16, those with disabilities, and those aged 65+. </w:t>
      </w:r>
      <w:r w:rsidR="00877570" w:rsidRPr="005346ED">
        <w:rPr>
          <w:szCs w:val="24"/>
        </w:rPr>
        <w:t xml:space="preserve">Some authorities have introduced season tickets for those who want to play more regularly at an affordable rate. </w:t>
      </w:r>
      <w:r w:rsidR="00B24BA1" w:rsidRPr="005346ED">
        <w:rPr>
          <w:szCs w:val="24"/>
        </w:rPr>
        <w:t>To</w:t>
      </w:r>
      <w:r w:rsidR="00F12F9B" w:rsidRPr="005346ED">
        <w:rPr>
          <w:szCs w:val="24"/>
        </w:rPr>
        <w:t xml:space="preserve"> maximise take up and to address income inequality the council can set aside </w:t>
      </w:r>
      <w:r w:rsidR="00D906C2" w:rsidRPr="005346ED">
        <w:rPr>
          <w:szCs w:val="24"/>
        </w:rPr>
        <w:t>free weekly tennis session at a minimum of 30% of the parks involved</w:t>
      </w:r>
      <w:r w:rsidR="00F12F9B" w:rsidRPr="005346ED">
        <w:rPr>
          <w:szCs w:val="24"/>
        </w:rPr>
        <w:t xml:space="preserve">. This is accordance with the LTA’s criteria for </w:t>
      </w:r>
      <w:r w:rsidR="009B4B5F" w:rsidRPr="005346ED">
        <w:rPr>
          <w:szCs w:val="24"/>
        </w:rPr>
        <w:t>usage and</w:t>
      </w:r>
      <w:r w:rsidR="008E3851" w:rsidRPr="005346ED">
        <w:rPr>
          <w:szCs w:val="24"/>
        </w:rPr>
        <w:t xml:space="preserve"> </w:t>
      </w:r>
      <w:r w:rsidR="00F12F9B" w:rsidRPr="005346ED">
        <w:rPr>
          <w:szCs w:val="24"/>
        </w:rPr>
        <w:t xml:space="preserve">will help drive up activity levels and will enable </w:t>
      </w:r>
      <w:r w:rsidR="00D906C2" w:rsidRPr="005346ED">
        <w:rPr>
          <w:szCs w:val="24"/>
        </w:rPr>
        <w:t xml:space="preserve">residents </w:t>
      </w:r>
      <w:r w:rsidR="006042E2" w:rsidRPr="005346ED">
        <w:rPr>
          <w:szCs w:val="24"/>
        </w:rPr>
        <w:t xml:space="preserve">to </w:t>
      </w:r>
      <w:r w:rsidR="00D906C2" w:rsidRPr="005346ED">
        <w:rPr>
          <w:szCs w:val="24"/>
        </w:rPr>
        <w:t xml:space="preserve">play tennis regardless of income. Free sessions </w:t>
      </w:r>
      <w:r w:rsidR="00C0701E" w:rsidRPr="005346ED">
        <w:rPr>
          <w:szCs w:val="24"/>
        </w:rPr>
        <w:t xml:space="preserve">can include </w:t>
      </w:r>
      <w:r w:rsidR="00483349" w:rsidRPr="005346ED">
        <w:rPr>
          <w:szCs w:val="24"/>
        </w:rPr>
        <w:t xml:space="preserve">the rental of </w:t>
      </w:r>
      <w:r w:rsidR="00A26153" w:rsidRPr="005346ED">
        <w:rPr>
          <w:szCs w:val="24"/>
        </w:rPr>
        <w:t xml:space="preserve">tennis rackets and tennis balls to ensure that the whole community are able to play tennis. </w:t>
      </w:r>
    </w:p>
    <w:p w14:paraId="38B2F351" w14:textId="77777777" w:rsidR="005346ED" w:rsidRDefault="005346ED" w:rsidP="005346ED">
      <w:pPr>
        <w:ind w:left="1080"/>
        <w:rPr>
          <w:szCs w:val="24"/>
        </w:rPr>
      </w:pPr>
    </w:p>
    <w:p w14:paraId="442D3E32" w14:textId="77777777" w:rsidR="005346ED" w:rsidRPr="005346ED" w:rsidRDefault="00E203B7" w:rsidP="00F16EDB">
      <w:pPr>
        <w:numPr>
          <w:ilvl w:val="1"/>
          <w:numId w:val="8"/>
        </w:numPr>
        <w:rPr>
          <w:szCs w:val="24"/>
        </w:rPr>
      </w:pPr>
      <w:r>
        <w:t xml:space="preserve">The LTA’s </w:t>
      </w:r>
      <w:r w:rsidR="003013DC">
        <w:t>Renovation Fund</w:t>
      </w:r>
      <w:r>
        <w:t xml:space="preserve"> application process</w:t>
      </w:r>
      <w:r w:rsidR="003013DC">
        <w:t xml:space="preserve"> is in two s</w:t>
      </w:r>
      <w:r w:rsidR="00D23ABE">
        <w:t xml:space="preserve">tages. </w:t>
      </w:r>
      <w:r w:rsidR="00A63E31">
        <w:t xml:space="preserve">An LTA Funding Panel will assess applications </w:t>
      </w:r>
      <w:r w:rsidR="00BB1410">
        <w:t xml:space="preserve">based on the estimated costs that have been identified from the </w:t>
      </w:r>
      <w:r w:rsidR="00FE4A3D">
        <w:t>LTA’s Technical Surveys.</w:t>
      </w:r>
      <w:r w:rsidR="008A5B54">
        <w:t xml:space="preserve"> The estimated costs for the renovations </w:t>
      </w:r>
      <w:r w:rsidR="009E40B9">
        <w:t>work</w:t>
      </w:r>
      <w:r w:rsidR="008A5B54">
        <w:t xml:space="preserve"> to </w:t>
      </w:r>
      <w:r w:rsidR="00D76A51">
        <w:t>Harrow’s courts is £445,675.</w:t>
      </w:r>
      <w:r w:rsidR="00FE4A3D">
        <w:t xml:space="preserve"> </w:t>
      </w:r>
      <w:r w:rsidR="001A5B0A">
        <w:t xml:space="preserve">The LTA has approved </w:t>
      </w:r>
      <w:r w:rsidR="005813E1">
        <w:t xml:space="preserve">Harrow’s Stage 1 </w:t>
      </w:r>
      <w:r w:rsidR="008D7DD6">
        <w:t>application for this funding.</w:t>
      </w:r>
      <w:r w:rsidR="005F0C0D">
        <w:t xml:space="preserve"> </w:t>
      </w:r>
      <w:r w:rsidR="008D7DD6">
        <w:t xml:space="preserve">The </w:t>
      </w:r>
      <w:r w:rsidR="00395067">
        <w:t xml:space="preserve">costs will then be finalised </w:t>
      </w:r>
      <w:r w:rsidR="00E2062D">
        <w:t xml:space="preserve">by the </w:t>
      </w:r>
      <w:r w:rsidR="009D3CF1">
        <w:t xml:space="preserve">procurement process </w:t>
      </w:r>
      <w:r w:rsidR="00AC5F05">
        <w:t xml:space="preserve">that would be undertaken by the LTA using their National Framework. </w:t>
      </w:r>
      <w:r w:rsidR="00F95B95">
        <w:t xml:space="preserve">The LTA </w:t>
      </w:r>
      <w:r w:rsidR="008070E6">
        <w:t xml:space="preserve">Funding Panel would then </w:t>
      </w:r>
      <w:r w:rsidR="007333EC">
        <w:t xml:space="preserve">make a </w:t>
      </w:r>
      <w:r w:rsidR="00EA5C0F">
        <w:t>final decision as to whether to approve the funding</w:t>
      </w:r>
      <w:r w:rsidR="00391B72">
        <w:t xml:space="preserve"> </w:t>
      </w:r>
      <w:r w:rsidR="00CF682C">
        <w:t>based on the bidders’ submitted prices</w:t>
      </w:r>
      <w:r w:rsidR="00094414">
        <w:t xml:space="preserve"> via the LTA’s National Framework</w:t>
      </w:r>
      <w:r w:rsidR="00CF682C">
        <w:t>.</w:t>
      </w:r>
      <w:r w:rsidR="00442B81">
        <w:t xml:space="preserve"> It would be after this </w:t>
      </w:r>
      <w:r w:rsidR="007C32E3">
        <w:t>second stage that the Council would enter into the funding agreement with the LTA.</w:t>
      </w:r>
      <w:r w:rsidR="005F0C0D">
        <w:t xml:space="preserve"> </w:t>
      </w:r>
      <w:r w:rsidR="00BB7134">
        <w:t xml:space="preserve">There is no requirement </w:t>
      </w:r>
      <w:r w:rsidR="00043DA0">
        <w:t>for match funding from local authorities</w:t>
      </w:r>
      <w:r w:rsidR="00514681">
        <w:t xml:space="preserve"> and the Council will only proceed with the funding agreement if the full capital cost of the renovation works is met from the </w:t>
      </w:r>
      <w:r w:rsidR="008251F2">
        <w:t>grant award</w:t>
      </w:r>
      <w:r w:rsidR="00043DA0">
        <w:t xml:space="preserve">. </w:t>
      </w:r>
      <w:r w:rsidR="00924330">
        <w:t xml:space="preserve">The LTA also </w:t>
      </w:r>
      <w:r w:rsidR="00D8311A">
        <w:t>considers</w:t>
      </w:r>
      <w:r w:rsidR="00924330">
        <w:t xml:space="preserve"> </w:t>
      </w:r>
      <w:r w:rsidR="00055928">
        <w:t>in its assessment of funding applications areas which are identified as having high levels of deprivation</w:t>
      </w:r>
      <w:r w:rsidR="0066306B">
        <w:t xml:space="preserve"> – relevant </w:t>
      </w:r>
      <w:r w:rsidR="00B313D8">
        <w:t xml:space="preserve">Harrow </w:t>
      </w:r>
      <w:r w:rsidR="0066306B">
        <w:t xml:space="preserve">parks would include Byron Recreation Ground, </w:t>
      </w:r>
      <w:r w:rsidR="0069278A">
        <w:t>Harrow Recreation Ground, Harrow Weald Recreation Ground</w:t>
      </w:r>
      <w:r w:rsidR="00E24BA8">
        <w:t xml:space="preserve">, Headstone Manor Recreation Ground, and </w:t>
      </w:r>
      <w:proofErr w:type="spellStart"/>
      <w:r w:rsidR="00E24BA8">
        <w:t>Roxeth</w:t>
      </w:r>
      <w:proofErr w:type="spellEnd"/>
      <w:r w:rsidR="00E24BA8">
        <w:t xml:space="preserve"> Recreation Ground. </w:t>
      </w:r>
      <w:r w:rsidR="006042E2">
        <w:t xml:space="preserve">The contract for the tennis courts’ renovation works will be between the Council and the </w:t>
      </w:r>
      <w:r w:rsidR="006042E2">
        <w:lastRenderedPageBreak/>
        <w:t>contractor procured through the LTA’s National Framework. There will be a separate agreement between the LTA and the Council for the grant funding awarded to the Council for the renovation works subject to a successful funding application.</w:t>
      </w:r>
    </w:p>
    <w:p w14:paraId="16B7E0DA" w14:textId="77777777" w:rsidR="005346ED" w:rsidRDefault="005346ED" w:rsidP="005346ED">
      <w:pPr>
        <w:ind w:left="1080"/>
        <w:rPr>
          <w:szCs w:val="24"/>
        </w:rPr>
      </w:pPr>
    </w:p>
    <w:p w14:paraId="2739D91F" w14:textId="77777777" w:rsidR="00F16EDB" w:rsidRPr="005346ED" w:rsidRDefault="00BD5D9A" w:rsidP="00F16EDB">
      <w:pPr>
        <w:numPr>
          <w:ilvl w:val="1"/>
          <w:numId w:val="8"/>
        </w:numPr>
        <w:rPr>
          <w:szCs w:val="24"/>
        </w:rPr>
      </w:pPr>
      <w:r w:rsidRPr="005346ED">
        <w:rPr>
          <w:szCs w:val="24"/>
        </w:rPr>
        <w:t xml:space="preserve">Once renovated the tennis courts can either be managed in-house or </w:t>
      </w:r>
      <w:r>
        <w:t>outsourced to an operator following a procurement process.</w:t>
      </w:r>
      <w:r w:rsidR="006C52FD">
        <w:t xml:space="preserve"> The preferred option is to enter into a contract with a tennis operator procured using a competitive tender process.</w:t>
      </w:r>
      <w:r w:rsidR="009E40B9">
        <w:t xml:space="preserve"> If outsourced the operator would retain the income generated from the use of the courts. The procurement strategy for appointing an operator to manage the courts would detail the</w:t>
      </w:r>
      <w:r w:rsidR="006C52FD">
        <w:t xml:space="preserve"> exact</w:t>
      </w:r>
      <w:r w:rsidR="009E40B9">
        <w:t xml:space="preserve"> financial arrangements to be included as part of the contract</w:t>
      </w:r>
      <w:r w:rsidR="006C52FD">
        <w:t>,</w:t>
      </w:r>
      <w:r w:rsidR="009E40B9">
        <w:t xml:space="preserve"> but </w:t>
      </w:r>
      <w:r w:rsidR="006C52FD">
        <w:t>there</w:t>
      </w:r>
      <w:r w:rsidR="009E40B9">
        <w:t xml:space="preserve"> would</w:t>
      </w:r>
      <w:r w:rsidR="006C52FD">
        <w:t xml:space="preserve"> be a </w:t>
      </w:r>
      <w:r w:rsidR="009E40B9">
        <w:t xml:space="preserve">requirement </w:t>
      </w:r>
      <w:r w:rsidR="006C52FD">
        <w:t xml:space="preserve">for the operator to pay the Council </w:t>
      </w:r>
      <w:r w:rsidR="009E40B9">
        <w:t xml:space="preserve">£42k </w:t>
      </w:r>
      <w:r w:rsidR="006C52FD">
        <w:t xml:space="preserve">annually </w:t>
      </w:r>
      <w:r w:rsidR="009E40B9">
        <w:t>for the sinking fund requirement</w:t>
      </w:r>
      <w:r w:rsidR="0097336D">
        <w:t xml:space="preserve">. </w:t>
      </w:r>
      <w:r w:rsidR="00F16EDB" w:rsidRPr="005346ED">
        <w:rPr>
          <w:rFonts w:eastAsia="Calibri" w:cs="Arial"/>
          <w:szCs w:val="24"/>
        </w:rPr>
        <w:t>As part of the procurement process for a tennis operator, bidders will be required to propose a pricing strategy that meets the following requirements:</w:t>
      </w:r>
    </w:p>
    <w:p w14:paraId="714B5080" w14:textId="77777777" w:rsidR="00BD5D9A" w:rsidRDefault="00BD5D9A" w:rsidP="00BD5D9A"/>
    <w:p w14:paraId="715C4152"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Promotes the principles of equality of access and sustainability</w:t>
      </w:r>
    </w:p>
    <w:p w14:paraId="7B42ECAF"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Includes pricing for pay and play for peak and off-peak periods (peak periods are defined as weekends and after 5pm Mondays to Fridays)</w:t>
      </w:r>
    </w:p>
    <w:p w14:paraId="517EE631" w14:textId="77777777" w:rsidR="00085598" w:rsidRPr="00085598" w:rsidRDefault="00085598" w:rsidP="00CC12F3">
      <w:pPr>
        <w:numPr>
          <w:ilvl w:val="0"/>
          <w:numId w:val="6"/>
        </w:numPr>
        <w:suppressAutoHyphens/>
        <w:autoSpaceDN w:val="0"/>
        <w:spacing w:after="160" w:line="254" w:lineRule="auto"/>
        <w:contextualSpacing/>
        <w:rPr>
          <w:rFonts w:cs="Arial"/>
          <w:szCs w:val="24"/>
        </w:rPr>
      </w:pPr>
      <w:r w:rsidRPr="00085598">
        <w:rPr>
          <w:rFonts w:cs="Arial"/>
          <w:szCs w:val="24"/>
        </w:rPr>
        <w:t>Generates an income that ensures the management of tennis courts is financially sustainable and enables future reinvestment into the tennis courts</w:t>
      </w:r>
    </w:p>
    <w:p w14:paraId="0C51BFF1"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Provides some free weekly coach led sessions at a minimum of 30% of the parks included in the contract. This is to include the courts at West Harrow Recreation Ground which have received grant funding from the London Marathon Trust Fund (LMTF). The LMTF have stipulated that there must continue to be some free coach led sessions at the site.</w:t>
      </w:r>
    </w:p>
    <w:p w14:paraId="373D47BC"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Includes concessionary rates for those aged under 16, 65+, and those with a disability.</w:t>
      </w:r>
    </w:p>
    <w:p w14:paraId="44F5C034" w14:textId="77777777" w:rsidR="00924AA7" w:rsidRDefault="00924AA7" w:rsidP="00BD5D9A"/>
    <w:p w14:paraId="22DB5A9E" w14:textId="77777777" w:rsidR="00041736" w:rsidRDefault="00041736" w:rsidP="00BD5D9A"/>
    <w:p w14:paraId="54301D10" w14:textId="77777777" w:rsidR="00D906C2" w:rsidRPr="00D906C2" w:rsidRDefault="00D906C2" w:rsidP="00D906C2">
      <w:pPr>
        <w:rPr>
          <w:b/>
          <w:bCs/>
          <w:sz w:val="28"/>
          <w:szCs w:val="28"/>
        </w:rPr>
      </w:pPr>
      <w:r>
        <w:rPr>
          <w:b/>
          <w:bCs/>
          <w:sz w:val="28"/>
          <w:szCs w:val="28"/>
        </w:rPr>
        <w:t>4. Options Considered</w:t>
      </w:r>
    </w:p>
    <w:p w14:paraId="54D7DB75" w14:textId="77777777" w:rsidR="009D67C8" w:rsidRPr="002F36D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A: </w:t>
      </w:r>
      <w:r w:rsidR="009D67C8" w:rsidRPr="009D67C8">
        <w:rPr>
          <w:rFonts w:ascii="Arial" w:hAnsi="Arial"/>
          <w:sz w:val="24"/>
          <w:szCs w:val="24"/>
        </w:rPr>
        <w:t>To enter into a funding agreement with the Lawn Tennis Association (LTA) for capital funding to renovate Harrow’s tennis courts at several Harrow parks</w:t>
      </w:r>
      <w:r w:rsidR="00483349">
        <w:rPr>
          <w:rFonts w:ascii="Arial" w:hAnsi="Arial"/>
          <w:sz w:val="24"/>
          <w:szCs w:val="24"/>
        </w:rPr>
        <w:t>,</w:t>
      </w:r>
      <w:r w:rsidR="009D67C8" w:rsidRPr="009D67C8">
        <w:rPr>
          <w:rFonts w:ascii="Arial" w:hAnsi="Arial"/>
          <w:sz w:val="24"/>
          <w:szCs w:val="24"/>
        </w:rPr>
        <w:t xml:space="preserve"> if the Council’s application to the LTA’s Renovation Fund is successful</w:t>
      </w:r>
      <w:r w:rsidR="00483349">
        <w:rPr>
          <w:rFonts w:ascii="Arial" w:hAnsi="Arial"/>
          <w:sz w:val="24"/>
          <w:szCs w:val="24"/>
        </w:rPr>
        <w:t>,</w:t>
      </w:r>
      <w:r w:rsidR="009D67C8">
        <w:rPr>
          <w:rFonts w:ascii="Arial" w:hAnsi="Arial"/>
          <w:sz w:val="24"/>
          <w:szCs w:val="24"/>
        </w:rPr>
        <w:t xml:space="preserve"> to increase participation in tennis</w:t>
      </w:r>
      <w:r w:rsidR="009D67C8" w:rsidRPr="009D67C8">
        <w:rPr>
          <w:rFonts w:ascii="Arial" w:hAnsi="Arial"/>
          <w:sz w:val="24"/>
          <w:szCs w:val="24"/>
        </w:rPr>
        <w:t xml:space="preserve">. To introduce a booking system and pricing strategy for use of the courts, and to appoint an operator to manage the </w:t>
      </w:r>
      <w:r w:rsidR="005D3CF1">
        <w:rPr>
          <w:rFonts w:ascii="Arial" w:hAnsi="Arial"/>
          <w:sz w:val="24"/>
          <w:szCs w:val="24"/>
        </w:rPr>
        <w:t xml:space="preserve">renovated </w:t>
      </w:r>
      <w:r w:rsidR="009D67C8" w:rsidRPr="009D67C8">
        <w:rPr>
          <w:rFonts w:ascii="Arial" w:hAnsi="Arial"/>
          <w:sz w:val="24"/>
          <w:szCs w:val="24"/>
        </w:rPr>
        <w:t>tennis courts following the completion of a tendering process.</w:t>
      </w:r>
      <w:r w:rsidR="002F36D2">
        <w:rPr>
          <w:rFonts w:ascii="Arial" w:hAnsi="Arial"/>
          <w:sz w:val="24"/>
          <w:szCs w:val="24"/>
        </w:rPr>
        <w:t xml:space="preserve"> </w:t>
      </w:r>
      <w:r w:rsidR="002F36D2">
        <w:rPr>
          <w:rFonts w:ascii="Arial" w:hAnsi="Arial"/>
          <w:b w:val="0"/>
          <w:bCs w:val="0"/>
          <w:sz w:val="24"/>
          <w:szCs w:val="24"/>
        </w:rPr>
        <w:t xml:space="preserve">This option will ensure that there is investment in the courts at </w:t>
      </w:r>
      <w:r w:rsidR="002F36D2" w:rsidRPr="00D30BAD">
        <w:rPr>
          <w:rFonts w:ascii="Arial" w:hAnsi="Arial"/>
          <w:b w:val="0"/>
          <w:bCs w:val="0"/>
          <w:sz w:val="24"/>
          <w:szCs w:val="24"/>
        </w:rPr>
        <w:t>13</w:t>
      </w:r>
      <w:r w:rsidR="002F36D2">
        <w:rPr>
          <w:rFonts w:ascii="Arial" w:hAnsi="Arial"/>
          <w:b w:val="0"/>
          <w:bCs w:val="0"/>
          <w:sz w:val="24"/>
          <w:szCs w:val="24"/>
        </w:rPr>
        <w:t xml:space="preserve"> of Harrow’s parks to bring them up to a playable standard with the introduction of pay and play ensuring </w:t>
      </w:r>
      <w:r w:rsidR="00483349">
        <w:rPr>
          <w:rFonts w:ascii="Arial" w:hAnsi="Arial"/>
          <w:b w:val="0"/>
          <w:bCs w:val="0"/>
          <w:sz w:val="24"/>
          <w:szCs w:val="24"/>
        </w:rPr>
        <w:t xml:space="preserve">that there is sufficient funding generated so </w:t>
      </w:r>
      <w:r w:rsidR="002F36D2">
        <w:rPr>
          <w:rFonts w:ascii="Arial" w:hAnsi="Arial"/>
          <w:b w:val="0"/>
          <w:bCs w:val="0"/>
          <w:sz w:val="24"/>
          <w:szCs w:val="24"/>
        </w:rPr>
        <w:t>that the courts can be maintained</w:t>
      </w:r>
      <w:r w:rsidR="00483349">
        <w:rPr>
          <w:rFonts w:ascii="Arial" w:hAnsi="Arial"/>
          <w:b w:val="0"/>
          <w:bCs w:val="0"/>
          <w:sz w:val="24"/>
          <w:szCs w:val="24"/>
        </w:rPr>
        <w:t xml:space="preserve"> in the future</w:t>
      </w:r>
      <w:r w:rsidR="002F36D2">
        <w:rPr>
          <w:rFonts w:ascii="Arial" w:hAnsi="Arial"/>
          <w:b w:val="0"/>
          <w:bCs w:val="0"/>
          <w:sz w:val="24"/>
          <w:szCs w:val="24"/>
        </w:rPr>
        <w:t>. Procuring a</w:t>
      </w:r>
      <w:r w:rsidR="00AB43A6">
        <w:rPr>
          <w:rFonts w:ascii="Arial" w:hAnsi="Arial"/>
          <w:b w:val="0"/>
          <w:bCs w:val="0"/>
          <w:sz w:val="24"/>
          <w:szCs w:val="24"/>
        </w:rPr>
        <w:t xml:space="preserve"> specialist </w:t>
      </w:r>
      <w:r w:rsidR="002F36D2">
        <w:rPr>
          <w:rFonts w:ascii="Arial" w:hAnsi="Arial"/>
          <w:b w:val="0"/>
          <w:bCs w:val="0"/>
          <w:sz w:val="24"/>
          <w:szCs w:val="24"/>
        </w:rPr>
        <w:t xml:space="preserve">tennis operator to manage the courts will ensure that the tennis offer benefits from </w:t>
      </w:r>
      <w:r w:rsidR="00AB43A6">
        <w:rPr>
          <w:rFonts w:ascii="Arial" w:hAnsi="Arial"/>
          <w:b w:val="0"/>
          <w:bCs w:val="0"/>
          <w:sz w:val="24"/>
          <w:szCs w:val="24"/>
        </w:rPr>
        <w:t>the operator’s expertise</w:t>
      </w:r>
      <w:r w:rsidR="005D3CF1">
        <w:rPr>
          <w:rFonts w:ascii="Arial" w:hAnsi="Arial"/>
          <w:b w:val="0"/>
          <w:bCs w:val="0"/>
          <w:sz w:val="24"/>
          <w:szCs w:val="24"/>
        </w:rPr>
        <w:t>,</w:t>
      </w:r>
      <w:r w:rsidR="00AB43A6">
        <w:rPr>
          <w:rFonts w:ascii="Arial" w:hAnsi="Arial"/>
          <w:b w:val="0"/>
          <w:bCs w:val="0"/>
          <w:sz w:val="24"/>
          <w:szCs w:val="24"/>
        </w:rPr>
        <w:t xml:space="preserve"> </w:t>
      </w:r>
      <w:r w:rsidR="00C15112">
        <w:rPr>
          <w:rFonts w:ascii="Arial" w:hAnsi="Arial"/>
          <w:b w:val="0"/>
          <w:bCs w:val="0"/>
          <w:sz w:val="24"/>
          <w:szCs w:val="24"/>
        </w:rPr>
        <w:t>including coaching sessions</w:t>
      </w:r>
      <w:r w:rsidR="005D3CF1">
        <w:rPr>
          <w:rFonts w:ascii="Arial" w:hAnsi="Arial"/>
          <w:b w:val="0"/>
          <w:bCs w:val="0"/>
          <w:sz w:val="24"/>
          <w:szCs w:val="24"/>
        </w:rPr>
        <w:t>,</w:t>
      </w:r>
      <w:r w:rsidR="00C15112">
        <w:rPr>
          <w:rFonts w:ascii="Arial" w:hAnsi="Arial"/>
          <w:b w:val="0"/>
          <w:bCs w:val="0"/>
          <w:sz w:val="24"/>
          <w:szCs w:val="24"/>
        </w:rPr>
        <w:t xml:space="preserve"> </w:t>
      </w:r>
      <w:r w:rsidR="00AB43A6">
        <w:rPr>
          <w:rFonts w:ascii="Arial" w:hAnsi="Arial"/>
          <w:b w:val="0"/>
          <w:bCs w:val="0"/>
          <w:sz w:val="24"/>
          <w:szCs w:val="24"/>
        </w:rPr>
        <w:t xml:space="preserve">and </w:t>
      </w:r>
      <w:r w:rsidR="005D3CF1">
        <w:rPr>
          <w:rFonts w:ascii="Arial" w:hAnsi="Arial"/>
          <w:b w:val="0"/>
          <w:bCs w:val="0"/>
          <w:sz w:val="24"/>
          <w:szCs w:val="24"/>
        </w:rPr>
        <w:t xml:space="preserve">that the Council benefits from their </w:t>
      </w:r>
      <w:r w:rsidR="00AB43A6">
        <w:rPr>
          <w:rFonts w:ascii="Arial" w:hAnsi="Arial"/>
          <w:b w:val="0"/>
          <w:bCs w:val="0"/>
          <w:sz w:val="24"/>
          <w:szCs w:val="24"/>
        </w:rPr>
        <w:t>economies of scale</w:t>
      </w:r>
      <w:r w:rsidR="005D3CF1">
        <w:rPr>
          <w:rFonts w:ascii="Arial" w:hAnsi="Arial"/>
          <w:b w:val="0"/>
          <w:bCs w:val="0"/>
          <w:sz w:val="24"/>
          <w:szCs w:val="24"/>
        </w:rPr>
        <w:t>,</w:t>
      </w:r>
      <w:r w:rsidR="00AB43A6">
        <w:rPr>
          <w:rFonts w:ascii="Arial" w:hAnsi="Arial"/>
          <w:b w:val="0"/>
          <w:bCs w:val="0"/>
          <w:sz w:val="24"/>
          <w:szCs w:val="24"/>
        </w:rPr>
        <w:t xml:space="preserve"> and </w:t>
      </w:r>
      <w:r w:rsidR="005D3CF1">
        <w:rPr>
          <w:rFonts w:ascii="Arial" w:hAnsi="Arial"/>
          <w:b w:val="0"/>
          <w:bCs w:val="0"/>
          <w:sz w:val="24"/>
          <w:szCs w:val="24"/>
        </w:rPr>
        <w:t>will</w:t>
      </w:r>
      <w:r w:rsidR="00AB43A6">
        <w:rPr>
          <w:rFonts w:ascii="Arial" w:hAnsi="Arial"/>
          <w:b w:val="0"/>
          <w:bCs w:val="0"/>
          <w:sz w:val="24"/>
          <w:szCs w:val="24"/>
        </w:rPr>
        <w:t xml:space="preserve"> mean that the financial risk will lie with the operator and not the Council. There would also be the potential for there to be profit share in operation that could then be invested in the parks.</w:t>
      </w:r>
      <w:r w:rsidR="00E424F9">
        <w:rPr>
          <w:rFonts w:ascii="Arial" w:hAnsi="Arial"/>
          <w:b w:val="0"/>
          <w:bCs w:val="0"/>
          <w:sz w:val="24"/>
          <w:szCs w:val="24"/>
        </w:rPr>
        <w:t xml:space="preserve"> The tennis operator would be responsible for the pricing strategy, but </w:t>
      </w:r>
      <w:r w:rsidR="00E424F9">
        <w:rPr>
          <w:rFonts w:ascii="Arial" w:hAnsi="Arial"/>
          <w:b w:val="0"/>
          <w:bCs w:val="0"/>
          <w:sz w:val="24"/>
          <w:szCs w:val="24"/>
        </w:rPr>
        <w:lastRenderedPageBreak/>
        <w:t>the LTA would require as a condition of their funding that there</w:t>
      </w:r>
      <w:r w:rsidR="005D3CF1">
        <w:rPr>
          <w:rFonts w:ascii="Arial" w:hAnsi="Arial"/>
          <w:b w:val="0"/>
          <w:bCs w:val="0"/>
          <w:sz w:val="24"/>
          <w:szCs w:val="24"/>
        </w:rPr>
        <w:t xml:space="preserve"> is an</w:t>
      </w:r>
      <w:r w:rsidR="00E424F9">
        <w:rPr>
          <w:rFonts w:ascii="Arial" w:hAnsi="Arial"/>
          <w:b w:val="0"/>
          <w:bCs w:val="0"/>
          <w:sz w:val="24"/>
          <w:szCs w:val="24"/>
        </w:rPr>
        <w:t xml:space="preserve"> operator led free weekly tennis offer in a minimum of 30% of the parks to ensure that tennis is accessible to all. </w:t>
      </w:r>
      <w:bookmarkStart w:id="0" w:name="_Hlk100400774"/>
      <w:r w:rsidR="00E424F9">
        <w:rPr>
          <w:rFonts w:ascii="Arial" w:hAnsi="Arial"/>
          <w:b w:val="0"/>
          <w:bCs w:val="0"/>
          <w:sz w:val="24"/>
          <w:szCs w:val="24"/>
        </w:rPr>
        <w:t>Most other London boroughs who have introduced a booking system with pay and play also have concessionary rates in operation.</w:t>
      </w:r>
    </w:p>
    <w:bookmarkEnd w:id="0"/>
    <w:p w14:paraId="780AFFE0" w14:textId="4A86F6CD" w:rsidR="009D67C8" w:rsidRPr="00795BEA" w:rsidRDefault="005346ED" w:rsidP="009D67C8">
      <w:pPr>
        <w:pStyle w:val="Heading2"/>
        <w:spacing w:before="240"/>
        <w:rPr>
          <w:rFonts w:ascii="Arial" w:hAnsi="Arial"/>
          <w:sz w:val="24"/>
          <w:szCs w:val="24"/>
        </w:rPr>
      </w:pPr>
      <w:r>
        <w:rPr>
          <w:rFonts w:ascii="Arial" w:hAnsi="Arial"/>
          <w:b w:val="0"/>
          <w:bCs w:val="0"/>
          <w:sz w:val="24"/>
          <w:szCs w:val="24"/>
        </w:rPr>
        <w:t xml:space="preserve">       </w:t>
      </w:r>
      <w:r w:rsidR="00795BEA" w:rsidRPr="00795BEA">
        <w:rPr>
          <w:rFonts w:ascii="Arial" w:hAnsi="Arial"/>
          <w:sz w:val="24"/>
          <w:szCs w:val="24"/>
        </w:rPr>
        <w:t>O</w:t>
      </w:r>
      <w:r w:rsidR="009D67C8" w:rsidRPr="00795BEA">
        <w:rPr>
          <w:rFonts w:ascii="Arial" w:hAnsi="Arial"/>
          <w:sz w:val="24"/>
          <w:szCs w:val="24"/>
        </w:rPr>
        <w:t xml:space="preserve">ption </w:t>
      </w:r>
      <w:r w:rsidR="00795BEA" w:rsidRPr="00795BEA">
        <w:rPr>
          <w:rFonts w:ascii="Arial" w:hAnsi="Arial"/>
          <w:sz w:val="24"/>
          <w:szCs w:val="24"/>
        </w:rPr>
        <w:t xml:space="preserve">A </w:t>
      </w:r>
      <w:r w:rsidR="009D67C8" w:rsidRPr="00795BEA">
        <w:rPr>
          <w:rFonts w:ascii="Arial" w:hAnsi="Arial"/>
          <w:sz w:val="24"/>
          <w:szCs w:val="24"/>
        </w:rPr>
        <w:t>is recommended</w:t>
      </w:r>
    </w:p>
    <w:p w14:paraId="5907358D" w14:textId="77777777" w:rsidR="00C15112" w:rsidRPr="002F36D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B: </w:t>
      </w:r>
      <w:r w:rsidR="009D67C8" w:rsidRPr="009D67C8">
        <w:rPr>
          <w:rFonts w:ascii="Arial" w:hAnsi="Arial"/>
          <w:sz w:val="24"/>
          <w:szCs w:val="24"/>
        </w:rPr>
        <w:t>To enter into a funding agreement with the Lawn Tennis Association (LTA) for capital funding to renovate Harrow’s tennis courts at several Harrow parks</w:t>
      </w:r>
      <w:r w:rsidR="005D3CF1">
        <w:rPr>
          <w:rFonts w:ascii="Arial" w:hAnsi="Arial"/>
          <w:sz w:val="24"/>
          <w:szCs w:val="24"/>
        </w:rPr>
        <w:t>,</w:t>
      </w:r>
      <w:r w:rsidR="009D67C8" w:rsidRPr="009D67C8">
        <w:rPr>
          <w:rFonts w:ascii="Arial" w:hAnsi="Arial"/>
          <w:sz w:val="24"/>
          <w:szCs w:val="24"/>
        </w:rPr>
        <w:t xml:space="preserve"> if the Council’s application to the LTA’s Renovation Fund is successful</w:t>
      </w:r>
      <w:r w:rsidR="005D3CF1">
        <w:rPr>
          <w:rFonts w:ascii="Arial" w:hAnsi="Arial"/>
          <w:sz w:val="24"/>
          <w:szCs w:val="24"/>
        </w:rPr>
        <w:t>,</w:t>
      </w:r>
      <w:r w:rsidR="009D67C8">
        <w:rPr>
          <w:rFonts w:ascii="Arial" w:hAnsi="Arial"/>
          <w:sz w:val="24"/>
          <w:szCs w:val="24"/>
        </w:rPr>
        <w:t xml:space="preserve"> to increase participation in tennis</w:t>
      </w:r>
      <w:r w:rsidR="009D67C8" w:rsidRPr="009D67C8">
        <w:rPr>
          <w:rFonts w:ascii="Arial" w:hAnsi="Arial"/>
          <w:sz w:val="24"/>
          <w:szCs w:val="24"/>
        </w:rPr>
        <w:t xml:space="preserve">. To introduce a booking system and pricing strategy for use of the courts, and the </w:t>
      </w:r>
      <w:r w:rsidR="005D3CF1">
        <w:rPr>
          <w:rFonts w:ascii="Arial" w:hAnsi="Arial"/>
          <w:sz w:val="24"/>
          <w:szCs w:val="24"/>
        </w:rPr>
        <w:t xml:space="preserve">renovated </w:t>
      </w:r>
      <w:r w:rsidR="009D67C8" w:rsidRPr="009D67C8">
        <w:rPr>
          <w:rFonts w:ascii="Arial" w:hAnsi="Arial"/>
          <w:sz w:val="24"/>
          <w:szCs w:val="24"/>
        </w:rPr>
        <w:t>tennis courts to be managed in-house by the Council.</w:t>
      </w:r>
      <w:r w:rsidR="00C15112">
        <w:rPr>
          <w:rFonts w:ascii="Arial" w:hAnsi="Arial"/>
          <w:sz w:val="24"/>
          <w:szCs w:val="24"/>
        </w:rPr>
        <w:t xml:space="preserve"> </w:t>
      </w:r>
      <w:r w:rsidR="00C15112">
        <w:rPr>
          <w:rFonts w:ascii="Arial" w:hAnsi="Arial"/>
          <w:b w:val="0"/>
          <w:bCs w:val="0"/>
          <w:sz w:val="24"/>
          <w:szCs w:val="24"/>
        </w:rPr>
        <w:t xml:space="preserve">This option will ensure that there is investment in the courts at </w:t>
      </w:r>
      <w:r w:rsidR="00C15112" w:rsidRPr="00D30BAD">
        <w:rPr>
          <w:rFonts w:ascii="Arial" w:hAnsi="Arial"/>
          <w:b w:val="0"/>
          <w:bCs w:val="0"/>
          <w:sz w:val="24"/>
          <w:szCs w:val="24"/>
        </w:rPr>
        <w:t>13</w:t>
      </w:r>
      <w:r w:rsidR="00C15112">
        <w:rPr>
          <w:rFonts w:ascii="Arial" w:hAnsi="Arial"/>
          <w:b w:val="0"/>
          <w:bCs w:val="0"/>
          <w:sz w:val="24"/>
          <w:szCs w:val="24"/>
        </w:rPr>
        <w:t xml:space="preserve"> of Harrow’s parks to bring them up to a playable standard with the introduction of a pay and play </w:t>
      </w:r>
      <w:r w:rsidR="005D3CF1">
        <w:rPr>
          <w:rFonts w:ascii="Arial" w:hAnsi="Arial"/>
          <w:b w:val="0"/>
          <w:bCs w:val="0"/>
          <w:sz w:val="24"/>
          <w:szCs w:val="24"/>
        </w:rPr>
        <w:t>ensuring that there is sufficient funding generated so that the courts can be maintained in the future.</w:t>
      </w:r>
      <w:r w:rsidR="00C15112">
        <w:rPr>
          <w:rFonts w:ascii="Arial" w:hAnsi="Arial"/>
          <w:b w:val="0"/>
          <w:bCs w:val="0"/>
          <w:sz w:val="24"/>
          <w:szCs w:val="24"/>
        </w:rPr>
        <w:t xml:space="preserve"> Whilst pay and play would be introduced the LTA would require as a condition of their funding that there is operator led free weekly tennis offer in a minimum of 30% of the parks to ensure that tennis is accessible to all. Most other London boroughs who have introduced a booking system with pay and play also have concessionary rates in operation.</w:t>
      </w:r>
    </w:p>
    <w:p w14:paraId="049E41C3" w14:textId="77777777" w:rsidR="009D67C8" w:rsidRPr="00C15112" w:rsidRDefault="00C15112" w:rsidP="005346ED">
      <w:pPr>
        <w:pStyle w:val="Heading2"/>
        <w:numPr>
          <w:ilvl w:val="1"/>
          <w:numId w:val="3"/>
        </w:numPr>
        <w:spacing w:before="240"/>
        <w:rPr>
          <w:rFonts w:ascii="Arial" w:hAnsi="Arial"/>
          <w:b w:val="0"/>
          <w:bCs w:val="0"/>
          <w:sz w:val="24"/>
          <w:szCs w:val="24"/>
        </w:rPr>
      </w:pPr>
      <w:r>
        <w:rPr>
          <w:rFonts w:ascii="Arial" w:hAnsi="Arial"/>
          <w:b w:val="0"/>
          <w:bCs w:val="0"/>
          <w:sz w:val="24"/>
          <w:szCs w:val="24"/>
        </w:rPr>
        <w:t xml:space="preserve">Managing the courts in-house would mean that Harrow’s tennis offer would not benefit from a specialist operator’s expertise or economies of scale and would require additional </w:t>
      </w:r>
      <w:r w:rsidR="005D3CF1">
        <w:rPr>
          <w:rFonts w:ascii="Arial" w:hAnsi="Arial"/>
          <w:b w:val="0"/>
          <w:bCs w:val="0"/>
          <w:sz w:val="24"/>
          <w:szCs w:val="24"/>
        </w:rPr>
        <w:t xml:space="preserve">staff </w:t>
      </w:r>
      <w:r>
        <w:rPr>
          <w:rFonts w:ascii="Arial" w:hAnsi="Arial"/>
          <w:b w:val="0"/>
          <w:bCs w:val="0"/>
          <w:sz w:val="24"/>
          <w:szCs w:val="24"/>
        </w:rPr>
        <w:t xml:space="preserve">resources to manage and maintain the courts. </w:t>
      </w:r>
      <w:r w:rsidR="002839C8">
        <w:rPr>
          <w:rFonts w:ascii="Arial" w:hAnsi="Arial"/>
          <w:b w:val="0"/>
          <w:bCs w:val="0"/>
          <w:sz w:val="24"/>
          <w:szCs w:val="24"/>
        </w:rPr>
        <w:t>A contractor would need to be engaged just to operate the coaching sessions, and</w:t>
      </w:r>
      <w:r w:rsidR="005D3CF1">
        <w:rPr>
          <w:rFonts w:ascii="Arial" w:hAnsi="Arial"/>
          <w:b w:val="0"/>
          <w:bCs w:val="0"/>
          <w:sz w:val="24"/>
          <w:szCs w:val="24"/>
        </w:rPr>
        <w:t xml:space="preserve"> all</w:t>
      </w:r>
      <w:r w:rsidR="002839C8">
        <w:rPr>
          <w:rFonts w:ascii="Arial" w:hAnsi="Arial"/>
          <w:b w:val="0"/>
          <w:bCs w:val="0"/>
          <w:sz w:val="24"/>
          <w:szCs w:val="24"/>
        </w:rPr>
        <w:t xml:space="preserve"> t</w:t>
      </w:r>
      <w:r>
        <w:rPr>
          <w:rFonts w:ascii="Arial" w:hAnsi="Arial"/>
          <w:b w:val="0"/>
          <w:bCs w:val="0"/>
          <w:sz w:val="24"/>
          <w:szCs w:val="24"/>
        </w:rPr>
        <w:t>he financial risk would lie with the Council.</w:t>
      </w:r>
    </w:p>
    <w:p w14:paraId="464D79A8" w14:textId="41522969" w:rsidR="009D67C8" w:rsidRPr="009D67C8" w:rsidRDefault="005346ED" w:rsidP="009D67C8">
      <w:pPr>
        <w:pStyle w:val="Heading2"/>
        <w:spacing w:before="240"/>
        <w:rPr>
          <w:rFonts w:ascii="Arial" w:hAnsi="Arial"/>
          <w:b w:val="0"/>
          <w:bCs w:val="0"/>
          <w:sz w:val="24"/>
          <w:szCs w:val="24"/>
        </w:rPr>
      </w:pPr>
      <w:r>
        <w:rPr>
          <w:rFonts w:ascii="Arial" w:hAnsi="Arial"/>
          <w:b w:val="0"/>
          <w:bCs w:val="0"/>
          <w:sz w:val="24"/>
          <w:szCs w:val="24"/>
        </w:rPr>
        <w:t xml:space="preserve">        </w:t>
      </w:r>
      <w:r w:rsidR="00795BEA">
        <w:rPr>
          <w:rFonts w:ascii="Arial" w:hAnsi="Arial"/>
          <w:b w:val="0"/>
          <w:bCs w:val="0"/>
          <w:sz w:val="24"/>
          <w:szCs w:val="24"/>
        </w:rPr>
        <w:t>O</w:t>
      </w:r>
      <w:r w:rsidR="009D67C8" w:rsidRPr="009D67C8">
        <w:rPr>
          <w:rFonts w:ascii="Arial" w:hAnsi="Arial"/>
          <w:b w:val="0"/>
          <w:bCs w:val="0"/>
          <w:sz w:val="24"/>
          <w:szCs w:val="24"/>
        </w:rPr>
        <w:t>ption</w:t>
      </w:r>
      <w:r w:rsidR="00795BEA">
        <w:rPr>
          <w:rFonts w:ascii="Arial" w:hAnsi="Arial"/>
          <w:b w:val="0"/>
          <w:bCs w:val="0"/>
          <w:sz w:val="24"/>
          <w:szCs w:val="24"/>
        </w:rPr>
        <w:t xml:space="preserve"> B</w:t>
      </w:r>
      <w:r w:rsidR="009D67C8" w:rsidRPr="009D67C8">
        <w:rPr>
          <w:rFonts w:ascii="Arial" w:hAnsi="Arial"/>
          <w:b w:val="0"/>
          <w:bCs w:val="0"/>
          <w:sz w:val="24"/>
          <w:szCs w:val="24"/>
        </w:rPr>
        <w:t xml:space="preserve"> is not recommended</w:t>
      </w:r>
    </w:p>
    <w:p w14:paraId="2540F521" w14:textId="77777777" w:rsidR="009D67C8" w:rsidRPr="00C1511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C: </w:t>
      </w:r>
      <w:r w:rsidR="009D67C8" w:rsidRPr="009D67C8">
        <w:rPr>
          <w:rFonts w:ascii="Arial" w:hAnsi="Arial"/>
          <w:sz w:val="24"/>
          <w:szCs w:val="24"/>
        </w:rPr>
        <w:t xml:space="preserve">To not enter into a funding agreement with the Lawn Tennis Association (LTA) for capital funding from the LTA’s Renovation Fund to renovate tennis courts in Harrow’s Parks. No booking system will be introduced, and the courts will remain free to use at all times. There will, however, be no investment in the tennis courts many of which are currently in a poor condition and no identified future maintenance funding </w:t>
      </w:r>
      <w:r w:rsidR="00215C01">
        <w:rPr>
          <w:rFonts w:ascii="Arial" w:hAnsi="Arial"/>
          <w:sz w:val="24"/>
          <w:szCs w:val="24"/>
        </w:rPr>
        <w:t>for the courts</w:t>
      </w:r>
      <w:r w:rsidR="009D67C8" w:rsidRPr="009D67C8">
        <w:rPr>
          <w:rFonts w:ascii="Arial" w:hAnsi="Arial"/>
          <w:sz w:val="24"/>
          <w:szCs w:val="24"/>
        </w:rPr>
        <w:t>.</w:t>
      </w:r>
      <w:r w:rsidR="00C15112">
        <w:rPr>
          <w:rFonts w:ascii="Arial" w:hAnsi="Arial"/>
          <w:sz w:val="24"/>
          <w:szCs w:val="24"/>
        </w:rPr>
        <w:t xml:space="preserve"> </w:t>
      </w:r>
      <w:r w:rsidR="00C15112">
        <w:rPr>
          <w:rFonts w:ascii="Arial" w:hAnsi="Arial"/>
          <w:b w:val="0"/>
          <w:bCs w:val="0"/>
          <w:sz w:val="24"/>
          <w:szCs w:val="24"/>
        </w:rPr>
        <w:t xml:space="preserve">This option would result in the condition of the </w:t>
      </w:r>
      <w:r w:rsidR="00215C01">
        <w:rPr>
          <w:rFonts w:ascii="Arial" w:hAnsi="Arial"/>
          <w:b w:val="0"/>
          <w:bCs w:val="0"/>
          <w:sz w:val="24"/>
          <w:szCs w:val="24"/>
        </w:rPr>
        <w:t xml:space="preserve">tennis courts in Harrow’s </w:t>
      </w:r>
      <w:r w:rsidR="00C15112">
        <w:rPr>
          <w:rFonts w:ascii="Arial" w:hAnsi="Arial"/>
          <w:b w:val="0"/>
          <w:bCs w:val="0"/>
          <w:sz w:val="24"/>
          <w:szCs w:val="24"/>
        </w:rPr>
        <w:t xml:space="preserve">parks continuing to deteriorate and mean that they all become increasingly unplayable. This would result in a reduction in participation in tennis rather than an increase. </w:t>
      </w:r>
      <w:r w:rsidR="002839C8" w:rsidRPr="002839C8">
        <w:rPr>
          <w:rFonts w:ascii="Arial" w:hAnsi="Arial"/>
          <w:b w:val="0"/>
          <w:bCs w:val="0"/>
          <w:sz w:val="24"/>
          <w:szCs w:val="24"/>
        </w:rPr>
        <w:t xml:space="preserve">The public will </w:t>
      </w:r>
      <w:r w:rsidR="002839C8">
        <w:rPr>
          <w:rFonts w:ascii="Arial" w:hAnsi="Arial"/>
          <w:b w:val="0"/>
          <w:bCs w:val="0"/>
          <w:sz w:val="24"/>
          <w:szCs w:val="24"/>
        </w:rPr>
        <w:t xml:space="preserve">not </w:t>
      </w:r>
      <w:r w:rsidR="002839C8" w:rsidRPr="002839C8">
        <w:rPr>
          <w:rFonts w:ascii="Arial" w:hAnsi="Arial"/>
          <w:b w:val="0"/>
          <w:bCs w:val="0"/>
          <w:sz w:val="24"/>
          <w:szCs w:val="24"/>
        </w:rPr>
        <w:t xml:space="preserve">be able to book a </w:t>
      </w:r>
      <w:r w:rsidR="002839C8">
        <w:rPr>
          <w:rFonts w:ascii="Arial" w:hAnsi="Arial"/>
          <w:b w:val="0"/>
          <w:bCs w:val="0"/>
          <w:sz w:val="24"/>
          <w:szCs w:val="24"/>
        </w:rPr>
        <w:t xml:space="preserve">good standard </w:t>
      </w:r>
      <w:r w:rsidR="002839C8" w:rsidRPr="002839C8">
        <w:rPr>
          <w:rFonts w:ascii="Arial" w:hAnsi="Arial"/>
          <w:b w:val="0"/>
          <w:bCs w:val="0"/>
          <w:sz w:val="24"/>
          <w:szCs w:val="24"/>
        </w:rPr>
        <w:t>court in advance</w:t>
      </w:r>
      <w:r w:rsidR="002839C8">
        <w:rPr>
          <w:rFonts w:ascii="Arial" w:hAnsi="Arial"/>
          <w:b w:val="0"/>
          <w:bCs w:val="0"/>
          <w:sz w:val="24"/>
          <w:szCs w:val="24"/>
        </w:rPr>
        <w:t>, and there would not be an improved coaching and competitive tennis offer</w:t>
      </w:r>
      <w:r w:rsidR="002839C8" w:rsidRPr="002839C8">
        <w:rPr>
          <w:rFonts w:ascii="Arial" w:hAnsi="Arial"/>
          <w:b w:val="0"/>
          <w:bCs w:val="0"/>
          <w:sz w:val="24"/>
          <w:szCs w:val="24"/>
        </w:rPr>
        <w:t xml:space="preserve">. </w:t>
      </w:r>
      <w:r w:rsidR="00C15112">
        <w:rPr>
          <w:rFonts w:ascii="Arial" w:hAnsi="Arial"/>
          <w:b w:val="0"/>
          <w:bCs w:val="0"/>
          <w:sz w:val="24"/>
          <w:szCs w:val="24"/>
        </w:rPr>
        <w:t xml:space="preserve"> </w:t>
      </w:r>
    </w:p>
    <w:p w14:paraId="4808B753" w14:textId="7170FA69" w:rsidR="009D67C8" w:rsidRDefault="00795BEA" w:rsidP="00795BEA">
      <w:pPr>
        <w:pStyle w:val="Heading2"/>
        <w:spacing w:before="240"/>
        <w:ind w:firstLine="530"/>
        <w:rPr>
          <w:rFonts w:ascii="Arial" w:hAnsi="Arial"/>
          <w:b w:val="0"/>
          <w:bCs w:val="0"/>
          <w:sz w:val="24"/>
          <w:szCs w:val="24"/>
        </w:rPr>
      </w:pPr>
      <w:r>
        <w:rPr>
          <w:rFonts w:ascii="Arial" w:hAnsi="Arial"/>
          <w:b w:val="0"/>
          <w:bCs w:val="0"/>
          <w:sz w:val="24"/>
          <w:szCs w:val="24"/>
        </w:rPr>
        <w:t>O</w:t>
      </w:r>
      <w:r w:rsidR="009D67C8" w:rsidRPr="009D67C8">
        <w:rPr>
          <w:rFonts w:ascii="Arial" w:hAnsi="Arial"/>
          <w:b w:val="0"/>
          <w:bCs w:val="0"/>
          <w:sz w:val="24"/>
          <w:szCs w:val="24"/>
        </w:rPr>
        <w:t xml:space="preserve">ption </w:t>
      </w:r>
      <w:r>
        <w:rPr>
          <w:rFonts w:ascii="Arial" w:hAnsi="Arial"/>
          <w:b w:val="0"/>
          <w:bCs w:val="0"/>
          <w:sz w:val="24"/>
          <w:szCs w:val="24"/>
        </w:rPr>
        <w:t xml:space="preserve"> C </w:t>
      </w:r>
      <w:r w:rsidR="009D67C8" w:rsidRPr="009D67C8">
        <w:rPr>
          <w:rFonts w:ascii="Arial" w:hAnsi="Arial"/>
          <w:b w:val="0"/>
          <w:bCs w:val="0"/>
          <w:sz w:val="24"/>
          <w:szCs w:val="24"/>
        </w:rPr>
        <w:t>is not recommended.</w:t>
      </w:r>
    </w:p>
    <w:p w14:paraId="116DB7CF" w14:textId="77777777" w:rsidR="00145668" w:rsidRDefault="00145668" w:rsidP="00145668"/>
    <w:p w14:paraId="701B60DF" w14:textId="77777777" w:rsidR="00307F76" w:rsidRPr="00816D70" w:rsidRDefault="00816D70" w:rsidP="00816D70">
      <w:pPr>
        <w:spacing w:before="240"/>
        <w:rPr>
          <w:b/>
          <w:sz w:val="28"/>
          <w:szCs w:val="28"/>
        </w:rPr>
      </w:pPr>
      <w:r>
        <w:rPr>
          <w:b/>
          <w:sz w:val="28"/>
          <w:szCs w:val="28"/>
        </w:rPr>
        <w:t xml:space="preserve">5. </w:t>
      </w:r>
      <w:r w:rsidR="00307F76" w:rsidRPr="00816D70">
        <w:rPr>
          <w:b/>
          <w:sz w:val="28"/>
          <w:szCs w:val="28"/>
        </w:rPr>
        <w:t xml:space="preserve">Ward Councillors’ comments </w:t>
      </w:r>
    </w:p>
    <w:p w14:paraId="6560431F" w14:textId="39AF7F14" w:rsidR="00330832" w:rsidRDefault="00795BEA" w:rsidP="00795BEA">
      <w:pPr>
        <w:spacing w:before="240"/>
        <w:ind w:left="360" w:hanging="360"/>
        <w:rPr>
          <w:rFonts w:ascii="Segoe UI" w:hAnsi="Segoe UI" w:cs="Segoe UI"/>
          <w:sz w:val="18"/>
          <w:szCs w:val="18"/>
        </w:rPr>
      </w:pPr>
      <w:r>
        <w:rPr>
          <w:bCs/>
          <w:szCs w:val="24"/>
        </w:rPr>
        <w:t>5.1</w:t>
      </w:r>
      <w:r>
        <w:rPr>
          <w:bCs/>
          <w:szCs w:val="24"/>
        </w:rPr>
        <w:tab/>
        <w:t>T</w:t>
      </w:r>
      <w:r w:rsidR="002C2C46">
        <w:rPr>
          <w:bCs/>
          <w:szCs w:val="24"/>
        </w:rPr>
        <w:t>he recommendations in this report would affect all wards.</w:t>
      </w:r>
      <w:r w:rsidR="00636668">
        <w:rPr>
          <w:bCs/>
          <w:szCs w:val="24"/>
        </w:rPr>
        <w:t xml:space="preserve"> There will be consultation </w:t>
      </w:r>
      <w:r w:rsidR="000E4B1E">
        <w:rPr>
          <w:bCs/>
          <w:szCs w:val="24"/>
        </w:rPr>
        <w:t>with Ward Councillors through the consultation process.</w:t>
      </w:r>
      <w:r w:rsidR="00330832">
        <w:rPr>
          <w:rStyle w:val="eop"/>
          <w:rFonts w:cs="Arial"/>
          <w:color w:val="0000FF"/>
        </w:rPr>
        <w:t> </w:t>
      </w:r>
    </w:p>
    <w:p w14:paraId="38FBDCB2" w14:textId="77777777" w:rsidR="00A81E19" w:rsidRDefault="00A81E19" w:rsidP="00CC12F3">
      <w:pPr>
        <w:pStyle w:val="Heading3"/>
        <w:numPr>
          <w:ilvl w:val="0"/>
          <w:numId w:val="5"/>
        </w:numPr>
        <w:spacing w:before="480" w:after="240"/>
      </w:pPr>
      <w:r>
        <w:lastRenderedPageBreak/>
        <w:t>Risk Management Implications</w:t>
      </w:r>
    </w:p>
    <w:p w14:paraId="314E69BD" w14:textId="77777777" w:rsidR="005346ED" w:rsidRDefault="005346ED" w:rsidP="005346ED">
      <w:pPr>
        <w:tabs>
          <w:tab w:val="left" w:pos="5610"/>
        </w:tabs>
        <w:ind w:left="720" w:right="81"/>
        <w:rPr>
          <w:rFonts w:cs="Arial"/>
          <w:szCs w:val="24"/>
          <w:lang w:val="en-US"/>
        </w:rPr>
      </w:pPr>
      <w:bookmarkStart w:id="1" w:name="_Hlk60923477"/>
      <w:bookmarkStart w:id="2" w:name="_Hlk60922991"/>
      <w:bookmarkStart w:id="3" w:name="_Hlk60923939"/>
      <w:r>
        <w:rPr>
          <w:rFonts w:cs="Arial"/>
          <w:szCs w:val="24"/>
          <w:lang w:val="en-US"/>
        </w:rPr>
        <w:t xml:space="preserve">6.1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83B3FAB" w14:textId="77777777" w:rsidR="005346ED" w:rsidRDefault="005346ED" w:rsidP="005346ED">
      <w:pPr>
        <w:tabs>
          <w:tab w:val="left" w:pos="5610"/>
        </w:tabs>
        <w:ind w:left="720" w:right="81"/>
        <w:rPr>
          <w:color w:val="0000FF"/>
        </w:rPr>
      </w:pPr>
    </w:p>
    <w:p w14:paraId="04064BF5" w14:textId="77777777" w:rsidR="005346ED" w:rsidRPr="005346ED" w:rsidRDefault="005346ED" w:rsidP="005346ED">
      <w:pPr>
        <w:tabs>
          <w:tab w:val="left" w:pos="5610"/>
        </w:tabs>
        <w:ind w:left="720" w:right="81"/>
        <w:rPr>
          <w:rFonts w:cs="Arial"/>
          <w:szCs w:val="24"/>
          <w:lang w:val="en-US" w:eastAsia="en-GB"/>
        </w:rPr>
      </w:pPr>
      <w:r w:rsidRPr="005346ED">
        <w:t xml:space="preserve">6.2 </w:t>
      </w:r>
      <w:r w:rsidR="00C53F1A" w:rsidRPr="005346ED">
        <w:rPr>
          <w:rFonts w:cs="Arial"/>
          <w:szCs w:val="24"/>
          <w:lang w:val="en-US" w:eastAsia="en-GB"/>
        </w:rPr>
        <w:t xml:space="preserve">Separate risk register in place? </w:t>
      </w:r>
      <w:r w:rsidR="00C53F1A" w:rsidRPr="005346ED">
        <w:rPr>
          <w:rFonts w:cs="Arial"/>
          <w:b/>
          <w:bCs/>
          <w:szCs w:val="24"/>
          <w:lang w:val="en-US" w:eastAsia="en-GB"/>
        </w:rPr>
        <w:t>Yes</w:t>
      </w:r>
      <w:r w:rsidR="00C53F1A" w:rsidRPr="005346ED">
        <w:rPr>
          <w:rFonts w:cs="Arial"/>
          <w:szCs w:val="24"/>
          <w:lang w:val="en-US" w:eastAsia="en-GB"/>
        </w:rPr>
        <w:t xml:space="preserve"> </w:t>
      </w:r>
    </w:p>
    <w:p w14:paraId="009C9866" w14:textId="77777777" w:rsidR="005346ED" w:rsidRPr="005346ED" w:rsidRDefault="005346ED" w:rsidP="005346ED">
      <w:pPr>
        <w:tabs>
          <w:tab w:val="left" w:pos="5610"/>
        </w:tabs>
        <w:ind w:left="720" w:right="81"/>
      </w:pPr>
    </w:p>
    <w:p w14:paraId="128F42D8" w14:textId="77777777" w:rsidR="005346ED" w:rsidRPr="005346ED" w:rsidRDefault="005346ED" w:rsidP="005346ED">
      <w:pPr>
        <w:tabs>
          <w:tab w:val="left" w:pos="5610"/>
        </w:tabs>
        <w:ind w:left="720" w:right="81"/>
        <w:rPr>
          <w:rFonts w:cs="Arial"/>
          <w:b/>
          <w:bCs/>
          <w:szCs w:val="24"/>
          <w:lang w:val="en-US" w:eastAsia="en-GB"/>
        </w:rPr>
      </w:pPr>
      <w:r w:rsidRPr="005346ED">
        <w:t xml:space="preserve">6.3 </w:t>
      </w:r>
      <w:r w:rsidR="00C53F1A" w:rsidRPr="005346ED">
        <w:t xml:space="preserve">The relevant risks contained in the register are attached/summarised below. </w:t>
      </w:r>
      <w:r w:rsidR="00C53F1A" w:rsidRPr="005346ED">
        <w:rPr>
          <w:rFonts w:cs="Arial"/>
          <w:b/>
          <w:bCs/>
          <w:szCs w:val="24"/>
          <w:lang w:val="en-US" w:eastAsia="en-GB"/>
        </w:rPr>
        <w:t>Yes</w:t>
      </w:r>
    </w:p>
    <w:p w14:paraId="1D041E61" w14:textId="77777777" w:rsidR="005346ED" w:rsidRPr="005346ED" w:rsidRDefault="005346ED" w:rsidP="005346ED">
      <w:pPr>
        <w:tabs>
          <w:tab w:val="left" w:pos="5610"/>
        </w:tabs>
        <w:ind w:left="720" w:right="81"/>
      </w:pPr>
    </w:p>
    <w:p w14:paraId="420E4046" w14:textId="77777777" w:rsidR="00C53F1A" w:rsidRPr="005346ED" w:rsidRDefault="005346ED" w:rsidP="005346ED">
      <w:pPr>
        <w:tabs>
          <w:tab w:val="left" w:pos="5610"/>
        </w:tabs>
        <w:ind w:left="720" w:right="81"/>
        <w:rPr>
          <w:color w:val="0000FF"/>
        </w:rPr>
      </w:pPr>
      <w:r w:rsidRPr="005346ED">
        <w:t>6.4</w:t>
      </w:r>
      <w:r>
        <w:t xml:space="preserve"> </w:t>
      </w:r>
      <w:r w:rsidR="00C53F1A">
        <w:t xml:space="preserve">The following key risks should be taken </w:t>
      </w:r>
      <w:r w:rsidR="00105B8A">
        <w:t>i</w:t>
      </w:r>
      <w:r w:rsidR="00C53F1A">
        <w:t>nto account when agreeing the recommendations in this report:</w:t>
      </w:r>
    </w:p>
    <w:p w14:paraId="37C49522" w14:textId="77777777" w:rsidR="007C5F90" w:rsidRDefault="007C5F90" w:rsidP="00105B8A"/>
    <w:p w14:paraId="0B9A1777" w14:textId="77777777" w:rsidR="00BE7BCA" w:rsidRDefault="00BE7BCA" w:rsidP="00105B8A"/>
    <w:tbl>
      <w:tblPr>
        <w:tblW w:w="8635" w:type="dxa"/>
        <w:tblCellMar>
          <w:left w:w="10" w:type="dxa"/>
          <w:right w:w="10" w:type="dxa"/>
        </w:tblCellMar>
        <w:tblLook w:val="04A0" w:firstRow="1" w:lastRow="0" w:firstColumn="1" w:lastColumn="0" w:noHBand="0" w:noVBand="1"/>
      </w:tblPr>
      <w:tblGrid>
        <w:gridCol w:w="3267"/>
        <w:gridCol w:w="3298"/>
        <w:gridCol w:w="2070"/>
      </w:tblGrid>
      <w:tr w:rsidR="00380F87" w14:paraId="5C2A9B09" w14:textId="77777777" w:rsidTr="003054E8">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06355F1E" w14:textId="77777777" w:rsidR="00380F87" w:rsidRDefault="00380F87" w:rsidP="003054E8">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EBF1D" w14:textId="77777777" w:rsidR="00380F87" w:rsidRDefault="00380F87" w:rsidP="003054E8">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746A4BC" w14:textId="77777777" w:rsidR="00380F87" w:rsidRDefault="00380F87" w:rsidP="003054E8">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059389C1" w14:textId="77777777" w:rsidTr="00FD755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A80D5" w14:textId="77777777" w:rsidR="00380F87" w:rsidRPr="009E07C1" w:rsidRDefault="009E07C1" w:rsidP="00CC12F3">
            <w:pPr>
              <w:pStyle w:val="ListParagraph"/>
              <w:numPr>
                <w:ilvl w:val="0"/>
                <w:numId w:val="4"/>
              </w:numPr>
              <w:spacing w:line="247" w:lineRule="auto"/>
              <w:ind w:right="141"/>
              <w:rPr>
                <w:rFonts w:cs="Arial"/>
                <w:szCs w:val="24"/>
                <w:lang w:val="en-US" w:eastAsia="en-GB"/>
              </w:rPr>
            </w:pPr>
            <w:r w:rsidRPr="009E07C1">
              <w:rPr>
                <w:rFonts w:cs="Arial"/>
                <w:szCs w:val="24"/>
                <w:lang w:val="en-US" w:eastAsia="en-GB"/>
              </w:rPr>
              <w:t>Harrow Council’s application to the Lawn Tennis Association (LTA)’s Renovation Fund is not successful.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D600C" w14:textId="77777777" w:rsidR="00380F87" w:rsidRDefault="00FD755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The Council</w:t>
            </w:r>
            <w:r w:rsidR="00B441E1">
              <w:rPr>
                <w:szCs w:val="24"/>
                <w:lang w:val="en-US"/>
              </w:rPr>
              <w:t xml:space="preserve"> </w:t>
            </w:r>
            <w:r>
              <w:rPr>
                <w:szCs w:val="24"/>
                <w:lang w:val="en-US"/>
              </w:rPr>
              <w:t>will work</w:t>
            </w:r>
            <w:r w:rsidR="00B441E1">
              <w:rPr>
                <w:szCs w:val="24"/>
                <w:lang w:val="en-US"/>
              </w:rPr>
              <w:t xml:space="preserve"> closely with the Lawn Tennis Association (LTA) on the funding application to ensure that it meets all the necessary criteria. </w:t>
            </w:r>
          </w:p>
          <w:p w14:paraId="41DA58B8" w14:textId="77777777" w:rsidR="00380F87" w:rsidRPr="00FD7555" w:rsidRDefault="00B441E1"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If the application is not </w:t>
            </w:r>
            <w:r w:rsidR="00FD7555">
              <w:rPr>
                <w:szCs w:val="24"/>
                <w:lang w:val="en-US"/>
              </w:rPr>
              <w:t>successful,</w:t>
            </w:r>
            <w:r>
              <w:rPr>
                <w:szCs w:val="24"/>
                <w:lang w:val="en-US"/>
              </w:rPr>
              <w:t xml:space="preserve"> the renovation of the tennis courts will not proceed meaning that there is not financial risk to the Council</w:t>
            </w:r>
            <w:r w:rsidR="00FD7555">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708A52B3" w14:textId="77777777" w:rsidR="00380F87" w:rsidRDefault="00FD7555" w:rsidP="003054E8">
            <w:pPr>
              <w:spacing w:line="247" w:lineRule="auto"/>
              <w:ind w:left="171" w:right="141"/>
              <w:rPr>
                <w:rFonts w:cs="Arial"/>
                <w:szCs w:val="24"/>
                <w:lang w:val="en-US" w:eastAsia="en-GB"/>
              </w:rPr>
            </w:pPr>
            <w:r>
              <w:rPr>
                <w:rFonts w:cs="Arial"/>
                <w:szCs w:val="24"/>
                <w:lang w:val="en-US" w:eastAsia="en-GB"/>
              </w:rPr>
              <w:t>Green</w:t>
            </w:r>
          </w:p>
        </w:tc>
      </w:tr>
      <w:tr w:rsidR="00380F87" w14:paraId="21F76DC2" w14:textId="77777777" w:rsidTr="006C770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853CF" w14:textId="77777777" w:rsidR="00380F87" w:rsidRPr="009E07C1"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t>There are delays in completing the refurbishment of the courts and/or in procuring a tennis contractor to then manage the courts resulting in the LTA’s deadline for completing the project not being met.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3E380" w14:textId="77777777" w:rsidR="00380F87" w:rsidRDefault="00FD755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 Council will engage with the LTA at any early stage and work closely with them </w:t>
            </w:r>
            <w:r w:rsidR="00C0690A">
              <w:rPr>
                <w:szCs w:val="24"/>
                <w:lang w:val="en-US"/>
              </w:rPr>
              <w:t xml:space="preserve">on completing the refurbishment works via the LTA’s </w:t>
            </w:r>
            <w:r w:rsidR="00215C01">
              <w:rPr>
                <w:szCs w:val="24"/>
                <w:lang w:val="en-US"/>
              </w:rPr>
              <w:t xml:space="preserve">National </w:t>
            </w:r>
            <w:r w:rsidR="00C0690A">
              <w:rPr>
                <w:szCs w:val="24"/>
                <w:lang w:val="en-US"/>
              </w:rPr>
              <w:t>Procurement Framework</w:t>
            </w:r>
          </w:p>
          <w:p w14:paraId="354B5AED" w14:textId="77777777" w:rsidR="00380F87" w:rsidRDefault="00C0690A"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There will be early engagement with the Council’s Procurement team regarding the tendering process to appoint a tennis contractor to manage the tennis courts once refurbished. </w:t>
            </w:r>
          </w:p>
          <w:p w14:paraId="26EBFD22" w14:textId="77777777" w:rsidR="00380F87" w:rsidRDefault="00C0690A"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The LTA has until 2024 to ensure that all the budget for refurbishing tennis courts has been spent.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65ABC52" w14:textId="77777777" w:rsidR="00380F87" w:rsidRDefault="006C7701" w:rsidP="003054E8">
            <w:pPr>
              <w:spacing w:line="247" w:lineRule="auto"/>
              <w:ind w:right="141"/>
              <w:rPr>
                <w:rFonts w:cs="Arial"/>
                <w:szCs w:val="24"/>
                <w:lang w:val="en-US" w:eastAsia="en-GB"/>
              </w:rPr>
            </w:pPr>
            <w:r>
              <w:rPr>
                <w:rFonts w:cs="Arial"/>
                <w:szCs w:val="24"/>
                <w:lang w:val="en-US" w:eastAsia="en-GB"/>
              </w:rPr>
              <w:t>Amber</w:t>
            </w:r>
          </w:p>
        </w:tc>
      </w:tr>
      <w:tr w:rsidR="009E07C1" w14:paraId="33DA0065" w14:textId="77777777" w:rsidTr="006C770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6865" w14:textId="77777777" w:rsidR="009E07C1" w:rsidRPr="004D56DA"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lastRenderedPageBreak/>
              <w:t>There is a rise in costs for refurbishing the courts</w:t>
            </w:r>
          </w:p>
          <w:p w14:paraId="57C3B804" w14:textId="77777777" w:rsidR="009E07C1" w:rsidRDefault="009E07C1" w:rsidP="003054E8">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5CAE" w14:textId="77777777" w:rsidR="009E07C1" w:rsidRDefault="00371E7B"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 costs for the various aspects of the refurbishment has been confirmed by the LTA as part of the application process, and the refurbishment work will be undertaken by a contractor from the LTA’s </w:t>
            </w:r>
            <w:r w:rsidR="00215C01">
              <w:rPr>
                <w:szCs w:val="24"/>
                <w:lang w:val="en-US"/>
              </w:rPr>
              <w:t>National P</w:t>
            </w:r>
            <w:r>
              <w:rPr>
                <w:szCs w:val="24"/>
                <w:lang w:val="en-US"/>
              </w:rPr>
              <w:t xml:space="preserve">rocurement </w:t>
            </w:r>
            <w:r w:rsidR="00215C01">
              <w:rPr>
                <w:szCs w:val="24"/>
                <w:lang w:val="en-US"/>
              </w:rPr>
              <w:t>F</w:t>
            </w:r>
            <w:r>
              <w:rPr>
                <w:szCs w:val="24"/>
                <w:lang w:val="en-US"/>
              </w:rPr>
              <w:t>ramework. The Council would not therefore be responsible for any increase in costs.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202B2FEB" w14:textId="77777777" w:rsidR="009E07C1" w:rsidRDefault="006C7701" w:rsidP="003054E8">
            <w:pPr>
              <w:spacing w:line="247" w:lineRule="auto"/>
              <w:ind w:right="141"/>
              <w:rPr>
                <w:rFonts w:cs="Arial"/>
                <w:szCs w:val="24"/>
                <w:lang w:val="en-US" w:eastAsia="en-GB"/>
              </w:rPr>
            </w:pPr>
            <w:r>
              <w:rPr>
                <w:rFonts w:cs="Arial"/>
                <w:szCs w:val="24"/>
                <w:lang w:val="en-US" w:eastAsia="en-GB"/>
              </w:rPr>
              <w:t>Amber</w:t>
            </w:r>
          </w:p>
        </w:tc>
      </w:tr>
      <w:tr w:rsidR="009E07C1" w14:paraId="00DE8790" w14:textId="77777777" w:rsidTr="00684E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DFB1B" w14:textId="77777777" w:rsidR="009E07C1" w:rsidRPr="004D56DA"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t>Insufficient income i</w:t>
            </w:r>
            <w:r w:rsidR="00C0690A">
              <w:rPr>
                <w:rFonts w:cs="Arial"/>
                <w:szCs w:val="24"/>
                <w:lang w:val="en-US" w:eastAsia="en-GB"/>
              </w:rPr>
              <w:t>s</w:t>
            </w:r>
            <w:r>
              <w:rPr>
                <w:rFonts w:cs="Arial"/>
                <w:szCs w:val="24"/>
                <w:lang w:val="en-US" w:eastAsia="en-GB"/>
              </w:rPr>
              <w:t xml:space="preserve"> generated from the use of the refurbished courts to offset the ongoing maintenance costs.</w:t>
            </w:r>
          </w:p>
          <w:p w14:paraId="43A72189" w14:textId="77777777" w:rsidR="009E07C1" w:rsidRDefault="009E07C1" w:rsidP="003054E8">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5FBB" w14:textId="77777777" w:rsidR="009E07C1" w:rsidRDefault="00684E7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A financial analysis has been undertaken of the minimum income required to be generated from the tennis courts with ongoing annual costs confirmed by the LTA. This includes a benchmarking of the charges in place by other London boroughs for play and play and an analysis of occupancy levels that would be required to generate sufficient income at different charging levels</w:t>
            </w:r>
          </w:p>
          <w:p w14:paraId="0B6B7668" w14:textId="77777777" w:rsidR="00684E75" w:rsidRDefault="00684E7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It is proposed to procure for a tennis operator to manage the courts once refurbished who will be experienced in managing tennis courts with the financial risk lying with the tennis operator rather than the Council.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4AA35CB" w14:textId="77777777" w:rsidR="009E07C1" w:rsidRDefault="00684E75" w:rsidP="003054E8">
            <w:pPr>
              <w:spacing w:line="247" w:lineRule="auto"/>
              <w:ind w:right="141"/>
              <w:rPr>
                <w:rFonts w:cs="Arial"/>
                <w:szCs w:val="24"/>
                <w:lang w:val="en-US" w:eastAsia="en-GB"/>
              </w:rPr>
            </w:pPr>
            <w:r>
              <w:rPr>
                <w:rFonts w:cs="Arial"/>
                <w:szCs w:val="24"/>
                <w:lang w:val="en-US" w:eastAsia="en-GB"/>
              </w:rPr>
              <w:t>Green</w:t>
            </w:r>
          </w:p>
        </w:tc>
      </w:tr>
    </w:tbl>
    <w:bookmarkEnd w:id="2"/>
    <w:bookmarkEnd w:id="3"/>
    <w:p w14:paraId="3F66573A" w14:textId="77777777" w:rsidR="002A3FEF" w:rsidRDefault="002A3FEF" w:rsidP="008152C6">
      <w:pPr>
        <w:pStyle w:val="Heading3"/>
        <w:numPr>
          <w:ilvl w:val="0"/>
          <w:numId w:val="21"/>
        </w:numPr>
        <w:spacing w:before="480" w:after="240"/>
      </w:pPr>
      <w:r>
        <w:t>Procurement Implications</w:t>
      </w:r>
    </w:p>
    <w:p w14:paraId="542D2AB4" w14:textId="77777777" w:rsidR="005346ED" w:rsidRPr="005346ED" w:rsidRDefault="0020226F" w:rsidP="00C72403">
      <w:pPr>
        <w:numPr>
          <w:ilvl w:val="1"/>
          <w:numId w:val="14"/>
        </w:numPr>
      </w:pPr>
      <w:r>
        <w:t>The procurement of a contractor for the construction works would be completed via the LTA’s National Procurement Framework</w:t>
      </w:r>
      <w:r w:rsidR="001B64E8">
        <w:t xml:space="preserve">. This is a compliant procurement route through which </w:t>
      </w:r>
      <w:r w:rsidR="001B64E8">
        <w:rPr>
          <w:rFonts w:cs="Arial"/>
        </w:rPr>
        <w:t>the LTA would procure the contractor on behalf of the Council.</w:t>
      </w:r>
      <w:r w:rsidR="00D56929">
        <w:rPr>
          <w:rFonts w:cs="Arial"/>
        </w:rPr>
        <w:t xml:space="preserve"> Following the procurement, the Council </w:t>
      </w:r>
      <w:r w:rsidR="00D56929">
        <w:rPr>
          <w:rFonts w:cs="Arial"/>
        </w:rPr>
        <w:lastRenderedPageBreak/>
        <w:t>will enter into a contract with the selected supplier who will undertake the works.</w:t>
      </w:r>
    </w:p>
    <w:p w14:paraId="63CC250A" w14:textId="77777777" w:rsidR="005346ED" w:rsidRDefault="005346ED" w:rsidP="005346ED">
      <w:pPr>
        <w:ind w:left="720"/>
      </w:pPr>
    </w:p>
    <w:p w14:paraId="29B5CED2" w14:textId="77777777" w:rsidR="00C72403" w:rsidRPr="005346ED" w:rsidRDefault="0020226F" w:rsidP="00C72403">
      <w:pPr>
        <w:numPr>
          <w:ilvl w:val="1"/>
          <w:numId w:val="14"/>
        </w:numPr>
      </w:pPr>
      <w:r>
        <w:t xml:space="preserve">The procurement of a tennis operator would be undertaken </w:t>
      </w:r>
      <w:bookmarkStart w:id="4" w:name="_Hlk60750869"/>
      <w:r w:rsidR="00AE43AD">
        <w:t xml:space="preserve">using a competitive tender process to maximise quality and value of the </w:t>
      </w:r>
      <w:r w:rsidR="00AE43AD" w:rsidRPr="009451EE">
        <w:t>services</w:t>
      </w:r>
      <w:r w:rsidR="00AE43AD">
        <w:t xml:space="preserve"> to be delivered. T</w:t>
      </w:r>
      <w:r w:rsidR="00AE43AD" w:rsidRPr="009451EE">
        <w:t xml:space="preserve">he </w:t>
      </w:r>
      <w:r w:rsidR="00AE43AD">
        <w:t xml:space="preserve">council’s </w:t>
      </w:r>
      <w:r w:rsidR="00AE43AD" w:rsidRPr="009451EE">
        <w:t>procurement team will engage service commissioners to advise on and agree suitable evaluation criteria and weightings</w:t>
      </w:r>
      <w:r w:rsidR="00AE43AD">
        <w:t xml:space="preserve"> and agree the term of the proposed contract.</w:t>
      </w:r>
      <w:r w:rsidR="00C72403">
        <w:t xml:space="preserve"> </w:t>
      </w:r>
      <w:bookmarkStart w:id="5" w:name="_MailAutoSig"/>
      <w:r w:rsidR="00C72403" w:rsidRPr="005346ED">
        <w:rPr>
          <w:rFonts w:eastAsia="Calibri" w:cs="Arial"/>
          <w:szCs w:val="24"/>
        </w:rPr>
        <w:t>The council will explore and decide the best contract model between the council and the operator. This may include a straight/conventional contract, a works concession contract or any other model that will be most effective and also yield value for money to the council.</w:t>
      </w:r>
      <w:bookmarkEnd w:id="5"/>
    </w:p>
    <w:bookmarkEnd w:id="4"/>
    <w:p w14:paraId="79EDE3B8" w14:textId="77777777" w:rsidR="00333FAA" w:rsidRDefault="005C7085" w:rsidP="008152C6">
      <w:pPr>
        <w:pStyle w:val="Heading3"/>
        <w:numPr>
          <w:ilvl w:val="0"/>
          <w:numId w:val="21"/>
        </w:numPr>
        <w:spacing w:before="480" w:after="240"/>
      </w:pPr>
      <w:r>
        <w:t>L</w:t>
      </w:r>
      <w:r w:rsidR="00333FAA">
        <w:t>egal Implications</w:t>
      </w:r>
    </w:p>
    <w:p w14:paraId="364615E3" w14:textId="77777777" w:rsidR="005346ED" w:rsidRDefault="00303C0F" w:rsidP="005346ED">
      <w:pPr>
        <w:pStyle w:val="ListParagraph"/>
        <w:numPr>
          <w:ilvl w:val="1"/>
          <w:numId w:val="15"/>
        </w:numPr>
      </w:pPr>
      <w:r>
        <w:t xml:space="preserve">The respective approvals sought in this report are consistent with one another and with the underlying council objective to </w:t>
      </w:r>
      <w:r w:rsidR="00603CB6">
        <w:t xml:space="preserve">renovate the </w:t>
      </w:r>
      <w:r w:rsidR="008963B9">
        <w:t>tennis courts and maintain them at a playable standard. To this extent the objective of the council and the means to achieve these are lawful.</w:t>
      </w:r>
    </w:p>
    <w:p w14:paraId="39C26BAC" w14:textId="77777777" w:rsidR="005346ED" w:rsidRDefault="005346ED" w:rsidP="005346ED">
      <w:pPr>
        <w:pStyle w:val="ListParagraph"/>
      </w:pPr>
    </w:p>
    <w:p w14:paraId="72A986E3" w14:textId="77777777" w:rsidR="005346ED" w:rsidRDefault="008963B9" w:rsidP="005346ED">
      <w:pPr>
        <w:pStyle w:val="ListParagraph"/>
        <w:numPr>
          <w:ilvl w:val="1"/>
          <w:numId w:val="15"/>
        </w:numPr>
      </w:pPr>
      <w:r>
        <w:t xml:space="preserve">The council will remain the </w:t>
      </w:r>
      <w:r w:rsidR="008F7348">
        <w:t>C</w:t>
      </w:r>
      <w:r>
        <w:t xml:space="preserve">ontracting </w:t>
      </w:r>
      <w:r w:rsidR="008F7348">
        <w:t>A</w:t>
      </w:r>
      <w:r>
        <w:t xml:space="preserve">uthority in relation to the procurement of the renovation works contract, while employing </w:t>
      </w:r>
      <w:r w:rsidR="000B2798">
        <w:t>LTA to manage the process and this is in order.</w:t>
      </w:r>
    </w:p>
    <w:p w14:paraId="6CA8B7C3" w14:textId="77777777" w:rsidR="005346ED" w:rsidRDefault="005346ED" w:rsidP="005346ED">
      <w:pPr>
        <w:pStyle w:val="ListParagraph"/>
      </w:pPr>
    </w:p>
    <w:p w14:paraId="217D14A6" w14:textId="77777777" w:rsidR="005346ED" w:rsidRPr="005346ED" w:rsidRDefault="000B2798" w:rsidP="005346ED">
      <w:pPr>
        <w:pStyle w:val="ListParagraph"/>
        <w:numPr>
          <w:ilvl w:val="1"/>
          <w:numId w:val="15"/>
        </w:numPr>
      </w:pPr>
      <w:r>
        <w:t xml:space="preserve">The </w:t>
      </w:r>
      <w:r w:rsidRPr="005346ED">
        <w:rPr>
          <w:szCs w:val="24"/>
        </w:rPr>
        <w:t xml:space="preserve">Procurement of a specialist tennis operator to manage the courts is also in line with the council’s best value obligations </w:t>
      </w:r>
      <w:r w:rsidR="00DC2956" w:rsidRPr="005346ED">
        <w:rPr>
          <w:szCs w:val="24"/>
        </w:rPr>
        <w:t>in law.</w:t>
      </w:r>
    </w:p>
    <w:p w14:paraId="568DE87D" w14:textId="77777777" w:rsidR="005346ED" w:rsidRDefault="005346ED" w:rsidP="005346ED">
      <w:pPr>
        <w:pStyle w:val="ListParagraph"/>
      </w:pPr>
    </w:p>
    <w:p w14:paraId="1D1CE87E" w14:textId="77777777" w:rsidR="00DC2956" w:rsidRPr="00DC2956" w:rsidRDefault="00DC2956" w:rsidP="005346ED">
      <w:pPr>
        <w:pStyle w:val="ListParagraph"/>
        <w:numPr>
          <w:ilvl w:val="1"/>
          <w:numId w:val="15"/>
        </w:numPr>
      </w:pPr>
      <w:r w:rsidRPr="005346ED">
        <w:rPr>
          <w:szCs w:val="24"/>
        </w:rPr>
        <w:t xml:space="preserve">Therefore, the approvals sought are lawful, consistent with the council’s legal obligations regarding fairness, transparency, </w:t>
      </w:r>
      <w:r w:rsidR="008152C6" w:rsidRPr="005346ED">
        <w:rPr>
          <w:szCs w:val="24"/>
        </w:rPr>
        <w:t>equality,</w:t>
      </w:r>
      <w:r w:rsidRPr="005346ED">
        <w:rPr>
          <w:szCs w:val="24"/>
        </w:rPr>
        <w:t xml:space="preserve"> and value for money.  They are also in line with and adhere to the provisions of the Public Contract Regulations 2015 and of the Council’s Contract Procedure Rules. </w:t>
      </w:r>
    </w:p>
    <w:p w14:paraId="790FDE85" w14:textId="77777777" w:rsidR="00333FAA" w:rsidRDefault="00333FAA" w:rsidP="008152C6">
      <w:pPr>
        <w:pStyle w:val="Heading3"/>
        <w:numPr>
          <w:ilvl w:val="0"/>
          <w:numId w:val="21"/>
        </w:numPr>
        <w:spacing w:before="480" w:after="240"/>
      </w:pPr>
      <w:r>
        <w:t>Financial Implications</w:t>
      </w:r>
    </w:p>
    <w:p w14:paraId="3F0E8C57" w14:textId="77777777" w:rsidR="005346ED" w:rsidRDefault="000C3495" w:rsidP="0054590F">
      <w:pPr>
        <w:numPr>
          <w:ilvl w:val="1"/>
          <w:numId w:val="17"/>
        </w:numPr>
      </w:pPr>
      <w:r>
        <w:t xml:space="preserve">Lawn Tennis Association (LTA) and Department Digital, Culture, </w:t>
      </w:r>
      <w:r w:rsidR="008152C6">
        <w:t>Media,</w:t>
      </w:r>
      <w:r>
        <w:t xml:space="preserve"> and Sport (DCMS) have launched the Renovation Fund to renovate tennis courts in parks. Funding applications open in April 2022. </w:t>
      </w:r>
      <w:r w:rsidR="00BE7BCA">
        <w:t xml:space="preserve">37 </w:t>
      </w:r>
      <w:r>
        <w:t xml:space="preserve">tennis courts in 13 parks have been identified as suitable to be included in the funding application. Technical survey </w:t>
      </w:r>
      <w:r w:rsidR="00532644">
        <w:t>has been</w:t>
      </w:r>
      <w:r>
        <w:t xml:space="preserve"> undertaken by LTA to inform the detailed renovation works required</w:t>
      </w:r>
      <w:r w:rsidR="00532644">
        <w:t xml:space="preserve"> and estimated costs</w:t>
      </w:r>
      <w:r>
        <w:t xml:space="preserve">. </w:t>
      </w:r>
      <w:r w:rsidR="00F607E2">
        <w:t xml:space="preserve">Harrow’s </w:t>
      </w:r>
      <w:r w:rsidR="00532644">
        <w:t xml:space="preserve">funding application has been </w:t>
      </w:r>
      <w:r w:rsidR="00F607E2">
        <w:t xml:space="preserve">approved at this Stage </w:t>
      </w:r>
      <w:r w:rsidR="006317C3">
        <w:t>1 of the process.</w:t>
      </w:r>
      <w:r w:rsidR="00AE2EDA">
        <w:t xml:space="preserve"> The</w:t>
      </w:r>
      <w:r w:rsidR="00532644">
        <w:t xml:space="preserve"> works </w:t>
      </w:r>
      <w:r w:rsidR="00AE2EDA">
        <w:t xml:space="preserve">will now </w:t>
      </w:r>
      <w:r w:rsidR="00532644">
        <w:t xml:space="preserve">be procured via the LTA’s National </w:t>
      </w:r>
      <w:r w:rsidR="00804899">
        <w:t>Framework,</w:t>
      </w:r>
      <w:r w:rsidR="00532644">
        <w:t xml:space="preserve"> and this </w:t>
      </w:r>
      <w:r w:rsidR="00AE2EDA">
        <w:t xml:space="preserve">will </w:t>
      </w:r>
      <w:r w:rsidR="00532644">
        <w:t xml:space="preserve">confirm the final costs. </w:t>
      </w:r>
      <w:r w:rsidR="00524418">
        <w:t xml:space="preserve">The </w:t>
      </w:r>
      <w:r w:rsidR="00D100E8">
        <w:t xml:space="preserve">LTA would then complete the final stage of the funding process to confirm the grant award. There is no capital match funding requirement from the Council. </w:t>
      </w:r>
      <w:r w:rsidR="001F6AF4">
        <w:t>In order to ensure that there is no net cost impact in the Capital Programme, t</w:t>
      </w:r>
      <w:r w:rsidR="00D100E8">
        <w:t>he Council would only enter into a funding agreement with the LTA should the full cost</w:t>
      </w:r>
      <w:r w:rsidR="00726CEC">
        <w:t>s</w:t>
      </w:r>
      <w:r w:rsidR="00D100E8">
        <w:t xml:space="preserve"> of renovation be met from their capital grant</w:t>
      </w:r>
      <w:r w:rsidR="00726CEC">
        <w:t xml:space="preserve">. </w:t>
      </w:r>
      <w:r>
        <w:t xml:space="preserve"> </w:t>
      </w:r>
    </w:p>
    <w:p w14:paraId="2C2AC13F" w14:textId="77777777" w:rsidR="005346ED" w:rsidRDefault="005346ED" w:rsidP="005346ED">
      <w:pPr>
        <w:ind w:left="720"/>
      </w:pPr>
    </w:p>
    <w:p w14:paraId="7F4446FB" w14:textId="77777777" w:rsidR="005346ED" w:rsidRDefault="0008018D" w:rsidP="0054590F">
      <w:pPr>
        <w:numPr>
          <w:ilvl w:val="1"/>
          <w:numId w:val="17"/>
        </w:numPr>
      </w:pPr>
      <w:r>
        <w:t xml:space="preserve">Under the terms and conditions of the grant, there is a requirement to set aside a sinking fund for future replacement of the courts. This is set at £1,200 </w:t>
      </w:r>
      <w:r>
        <w:lastRenderedPageBreak/>
        <w:t xml:space="preserve">per court per annum. With </w:t>
      </w:r>
      <w:r w:rsidR="00BE7BCA">
        <w:t xml:space="preserve">37 </w:t>
      </w:r>
      <w:r>
        <w:t>tennis courts in the funding application, the total sinking fund</w:t>
      </w:r>
      <w:r w:rsidR="00465927">
        <w:t xml:space="preserve"> requirement</w:t>
      </w:r>
      <w:r>
        <w:t xml:space="preserve"> is </w:t>
      </w:r>
      <w:r w:rsidR="00BE7BCA">
        <w:t>£44</w:t>
      </w:r>
      <w:r w:rsidR="001D2F46">
        <w:t>,</w:t>
      </w:r>
      <w:r w:rsidR="00BE7BCA">
        <w:t xml:space="preserve">400 </w:t>
      </w:r>
      <w:r>
        <w:t>per annum.</w:t>
      </w:r>
    </w:p>
    <w:p w14:paraId="7963F4C1" w14:textId="77777777" w:rsidR="005346ED" w:rsidRDefault="005346ED" w:rsidP="005346ED">
      <w:pPr>
        <w:pStyle w:val="ListParagraph"/>
      </w:pPr>
    </w:p>
    <w:p w14:paraId="58988992" w14:textId="77777777" w:rsidR="005346ED" w:rsidRDefault="000B661F" w:rsidP="0054590F">
      <w:pPr>
        <w:numPr>
          <w:ilvl w:val="1"/>
          <w:numId w:val="17"/>
        </w:numPr>
      </w:pPr>
      <w:r>
        <w:t xml:space="preserve">Other on-going running costs include cleaning &amp; litter picking, general repairs, </w:t>
      </w:r>
      <w:r w:rsidR="008152C6">
        <w:t>maintenance,</w:t>
      </w:r>
      <w:r>
        <w:t xml:space="preserve"> and other costs associated with access gates. This is estimated at £</w:t>
      </w:r>
      <w:r w:rsidR="0099461F">
        <w:t>30</w:t>
      </w:r>
      <w:r>
        <w:t xml:space="preserve">k per annum.   </w:t>
      </w:r>
    </w:p>
    <w:p w14:paraId="6EE2790F" w14:textId="77777777" w:rsidR="005346ED" w:rsidRDefault="005346ED" w:rsidP="005346ED">
      <w:pPr>
        <w:ind w:left="720"/>
      </w:pPr>
    </w:p>
    <w:p w14:paraId="014B182F" w14:textId="77777777" w:rsidR="005346ED" w:rsidRDefault="000B661F" w:rsidP="0054590F">
      <w:pPr>
        <w:numPr>
          <w:ilvl w:val="1"/>
          <w:numId w:val="17"/>
        </w:numPr>
      </w:pPr>
      <w:r>
        <w:t xml:space="preserve">The introduction of a pay and play scheme will ensure that </w:t>
      </w:r>
      <w:r w:rsidR="00076645">
        <w:t xml:space="preserve">income is generated to fund on-going costs of </w:t>
      </w:r>
      <w:r>
        <w:t>the tennis courts</w:t>
      </w:r>
      <w:r w:rsidR="00076645">
        <w:t xml:space="preserve">. This report recommends the use of a </w:t>
      </w:r>
      <w:r w:rsidR="00DF5CAB">
        <w:t>third-party</w:t>
      </w:r>
      <w:r w:rsidR="00076645">
        <w:t xml:space="preserve"> operator to run the tennis courts via a competitive procurement process, therefore </w:t>
      </w:r>
      <w:r w:rsidR="00465927">
        <w:t>pay and play</w:t>
      </w:r>
      <w:r w:rsidR="00076645">
        <w:t xml:space="preserve"> prices are to be determined by the successful bidder. </w:t>
      </w:r>
      <w:r w:rsidR="00DF5CAB">
        <w:t>However,</w:t>
      </w:r>
      <w:r w:rsidR="00076645">
        <w:t xml:space="preserve"> the pricing strategy will set out parameters within which the operator needs to follow.</w:t>
      </w:r>
    </w:p>
    <w:p w14:paraId="38EB6D8F" w14:textId="77777777" w:rsidR="005346ED" w:rsidRDefault="005346ED" w:rsidP="005346ED">
      <w:pPr>
        <w:pStyle w:val="ListParagraph"/>
      </w:pPr>
    </w:p>
    <w:p w14:paraId="606C232A" w14:textId="77777777" w:rsidR="00076645" w:rsidRDefault="00C51F7F" w:rsidP="0054590F">
      <w:pPr>
        <w:numPr>
          <w:ilvl w:val="1"/>
          <w:numId w:val="17"/>
        </w:numPr>
      </w:pPr>
      <w:r>
        <w:t xml:space="preserve">In order to </w:t>
      </w:r>
      <w:r w:rsidR="00465927">
        <w:t>meet</w:t>
      </w:r>
      <w:r>
        <w:t xml:space="preserve"> the sinking fund</w:t>
      </w:r>
      <w:r w:rsidR="00465927">
        <w:t xml:space="preserve"> requirement</w:t>
      </w:r>
      <w:r>
        <w:t xml:space="preserve"> and direct running costs, a minimum income of £</w:t>
      </w:r>
      <w:r w:rsidR="00BE7BCA">
        <w:t xml:space="preserve">74k </w:t>
      </w:r>
      <w:r>
        <w:t>would be required. For illustration purpose, this level of income could be achieved if around 1</w:t>
      </w:r>
      <w:r w:rsidR="00C77597">
        <w:t>1</w:t>
      </w:r>
      <w:r>
        <w:t xml:space="preserve">% of the operating times of all tennis courts </w:t>
      </w:r>
      <w:r w:rsidR="00465927">
        <w:t>were</w:t>
      </w:r>
      <w:r>
        <w:t xml:space="preserve"> paid for at an average price of £5 per hour. The table below provides a sensitivity analysis to illustrate the </w:t>
      </w:r>
      <w:r w:rsidR="00465927">
        <w:t>potential income level</w:t>
      </w:r>
      <w:r>
        <w:t xml:space="preserve">. </w:t>
      </w:r>
    </w:p>
    <w:p w14:paraId="2F8DE83D" w14:textId="77777777" w:rsidR="00BE7BCA" w:rsidRDefault="00BE7BCA" w:rsidP="0054590F"/>
    <w:p w14:paraId="63EAD3CA" w14:textId="06F25447" w:rsidR="00BA46C3" w:rsidRDefault="001C1AD7" w:rsidP="0054590F">
      <w:r>
        <w:rPr>
          <w:noProof/>
        </w:rPr>
        <w:drawing>
          <wp:inline distT="0" distB="0" distL="0" distR="0" wp14:anchorId="4E0D205C" wp14:editId="397CE1E1">
            <wp:extent cx="55054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742950"/>
                    </a:xfrm>
                    <a:prstGeom prst="rect">
                      <a:avLst/>
                    </a:prstGeom>
                    <a:noFill/>
                    <a:ln>
                      <a:noFill/>
                    </a:ln>
                  </pic:spPr>
                </pic:pic>
              </a:graphicData>
            </a:graphic>
          </wp:inline>
        </w:drawing>
      </w:r>
    </w:p>
    <w:p w14:paraId="42CBD103" w14:textId="77777777" w:rsidR="00BA46C3" w:rsidRDefault="00BA46C3" w:rsidP="0054590F"/>
    <w:p w14:paraId="201E37C2" w14:textId="77777777" w:rsidR="005346ED" w:rsidRDefault="001E5BC1" w:rsidP="0054590F">
      <w:pPr>
        <w:numPr>
          <w:ilvl w:val="1"/>
          <w:numId w:val="17"/>
        </w:numPr>
      </w:pPr>
      <w:r>
        <w:t xml:space="preserve">Other sources of income include annual membership subscriptions and coaching sessions. The exact delivery model will be the responsibility of the </w:t>
      </w:r>
      <w:r w:rsidR="00565BF5">
        <w:t>third-party</w:t>
      </w:r>
      <w:r>
        <w:t xml:space="preserve"> operator.</w:t>
      </w:r>
    </w:p>
    <w:p w14:paraId="424DD4E2" w14:textId="77777777" w:rsidR="005346ED" w:rsidRDefault="005346ED" w:rsidP="005346ED">
      <w:pPr>
        <w:ind w:left="720"/>
      </w:pPr>
    </w:p>
    <w:p w14:paraId="3EECBFEA" w14:textId="77777777" w:rsidR="005346ED" w:rsidRDefault="002146D9" w:rsidP="0054590F">
      <w:pPr>
        <w:numPr>
          <w:ilvl w:val="1"/>
          <w:numId w:val="17"/>
        </w:numPr>
      </w:pPr>
      <w:r>
        <w:t xml:space="preserve">The proposed procurement strategy will be that the </w:t>
      </w:r>
      <w:r w:rsidR="002E2D83">
        <w:t>third-party</w:t>
      </w:r>
      <w:r>
        <w:t xml:space="preserve"> operator is required to provide a </w:t>
      </w:r>
      <w:r w:rsidR="001D4F6D">
        <w:t xml:space="preserve">fixed </w:t>
      </w:r>
      <w:r>
        <w:t>guaranteed income per annum at a minimum level of £</w:t>
      </w:r>
      <w:r w:rsidR="00BE7BCA">
        <w:t>44</w:t>
      </w:r>
      <w:r w:rsidR="009E40B9">
        <w:t>,</w:t>
      </w:r>
      <w:r w:rsidR="00BE7BCA">
        <w:t xml:space="preserve">400 </w:t>
      </w:r>
      <w:r>
        <w:t>(equivalent to the sinking fund requirement) and propose a profit share arrangement for surplus</w:t>
      </w:r>
      <w:r w:rsidR="001D4F6D">
        <w:t>es</w:t>
      </w:r>
      <w:r>
        <w:t xml:space="preserve"> achieved from the management of the tennis courts. The operator will </w:t>
      </w:r>
      <w:r w:rsidR="001D4F6D">
        <w:t xml:space="preserve">also </w:t>
      </w:r>
      <w:r>
        <w:t>be responsible for the on-going running costs of the courts.</w:t>
      </w:r>
      <w:r w:rsidR="00BC0CC4">
        <w:t xml:space="preserve"> The scheme must operate on the basis of self-financing and does not result in any revenue burden, otherwise would create a </w:t>
      </w:r>
      <w:r w:rsidR="00000B8C">
        <w:t>financial risk to the Council.</w:t>
      </w:r>
      <w:r w:rsidR="00BC0CC4">
        <w:t xml:space="preserve"> </w:t>
      </w:r>
    </w:p>
    <w:p w14:paraId="1B8B375F" w14:textId="77777777" w:rsidR="005346ED" w:rsidRDefault="005346ED" w:rsidP="005346ED">
      <w:pPr>
        <w:pStyle w:val="ListParagraph"/>
      </w:pPr>
    </w:p>
    <w:p w14:paraId="46D7F64D" w14:textId="77777777" w:rsidR="005346ED" w:rsidRDefault="00E17E5E" w:rsidP="0054590F">
      <w:pPr>
        <w:numPr>
          <w:ilvl w:val="1"/>
          <w:numId w:val="17"/>
        </w:numPr>
      </w:pPr>
      <w:r>
        <w:t xml:space="preserve">The sinking fund will be held in an earmarked reserve for future replacement of the tennis courts, ensuring a </w:t>
      </w:r>
      <w:r w:rsidR="002E2D83">
        <w:t>long-term</w:t>
      </w:r>
      <w:r>
        <w:t xml:space="preserve"> sustainability of the facility. This will ensure that funding is available when capital investment is required in future</w:t>
      </w:r>
      <w:r w:rsidR="00416321">
        <w:t>, avoiding the reliance on capital borrowing.</w:t>
      </w:r>
    </w:p>
    <w:p w14:paraId="6610CA0D" w14:textId="77777777" w:rsidR="005346ED" w:rsidRDefault="005346ED" w:rsidP="005346ED">
      <w:pPr>
        <w:pStyle w:val="ListParagraph"/>
      </w:pPr>
    </w:p>
    <w:p w14:paraId="2D244C03" w14:textId="7A434732" w:rsidR="002146D9" w:rsidRDefault="00655CC7" w:rsidP="0054590F">
      <w:pPr>
        <w:numPr>
          <w:ilvl w:val="1"/>
          <w:numId w:val="17"/>
        </w:numPr>
      </w:pPr>
      <w:r>
        <w:t xml:space="preserve">The option of appointing a </w:t>
      </w:r>
      <w:r w:rsidR="009D6451">
        <w:t>third-party</w:t>
      </w:r>
      <w:r>
        <w:t xml:space="preserve"> operator will minimise the financial risks to the Council. Should the tennis courts be managed in-house, there would be customer support, administrative and other </w:t>
      </w:r>
      <w:r w:rsidR="009D6451">
        <w:t>back-office</w:t>
      </w:r>
      <w:r>
        <w:t xml:space="preserve"> costs. </w:t>
      </w:r>
    </w:p>
    <w:p w14:paraId="203C245D" w14:textId="77777777" w:rsidR="00B02C05" w:rsidRDefault="00B02C05" w:rsidP="00B02C05">
      <w:pPr>
        <w:pStyle w:val="ListParagraph"/>
      </w:pPr>
    </w:p>
    <w:p w14:paraId="020F4E51" w14:textId="77777777" w:rsidR="00B02C05" w:rsidRDefault="00B02C05" w:rsidP="00B02C05">
      <w:pPr>
        <w:ind w:left="720"/>
      </w:pPr>
    </w:p>
    <w:p w14:paraId="6484C928" w14:textId="77777777" w:rsidR="00333FAA" w:rsidRDefault="00333FAA" w:rsidP="008152C6">
      <w:pPr>
        <w:pStyle w:val="Heading3"/>
        <w:numPr>
          <w:ilvl w:val="0"/>
          <w:numId w:val="21"/>
        </w:numPr>
        <w:spacing w:before="480" w:after="240"/>
      </w:pPr>
      <w:r w:rsidRPr="004A2543">
        <w:lastRenderedPageBreak/>
        <w:t>Equalities implications</w:t>
      </w:r>
      <w:r w:rsidR="001C7E35">
        <w:t xml:space="preserve"> </w:t>
      </w:r>
      <w:r w:rsidRPr="00333FAA">
        <w:t>/</w:t>
      </w:r>
      <w:r w:rsidR="001C7E35">
        <w:t xml:space="preserve"> </w:t>
      </w:r>
      <w:r w:rsidRPr="00333FAA">
        <w:t>Public Sector Equality Duty</w:t>
      </w:r>
    </w:p>
    <w:p w14:paraId="5525FAF7" w14:textId="77777777" w:rsidR="00D91C9E" w:rsidRDefault="00B867CD" w:rsidP="005346ED">
      <w:pPr>
        <w:numPr>
          <w:ilvl w:val="1"/>
          <w:numId w:val="19"/>
        </w:numPr>
        <w:rPr>
          <w:rFonts w:cs="Arial"/>
          <w:lang w:eastAsia="en-GB"/>
        </w:rPr>
      </w:pPr>
      <w:r>
        <w:t>An Equalities Impact Assessment (</w:t>
      </w:r>
      <w:proofErr w:type="spellStart"/>
      <w:r>
        <w:t>EqIA</w:t>
      </w:r>
      <w:proofErr w:type="spellEnd"/>
      <w:r>
        <w:t xml:space="preserve">) has been conducted (Appendix 1). The </w:t>
      </w:r>
      <w:proofErr w:type="spellStart"/>
      <w:r>
        <w:t>EqIA</w:t>
      </w:r>
      <w:proofErr w:type="spellEnd"/>
      <w:r>
        <w:t xml:space="preserve"> identified that the recommended option </w:t>
      </w:r>
      <w:r>
        <w:rPr>
          <w:szCs w:val="24"/>
        </w:rPr>
        <w:t>would not have an adverse impact on any of the protected characteristics. The proposals</w:t>
      </w:r>
      <w:r w:rsidR="006D0EDF">
        <w:rPr>
          <w:szCs w:val="24"/>
        </w:rPr>
        <w:t>,</w:t>
      </w:r>
      <w:r>
        <w:rPr>
          <w:rFonts w:cs="Arial"/>
          <w:lang w:eastAsia="en-GB"/>
        </w:rPr>
        <w:t xml:space="preserve"> </w:t>
      </w:r>
      <w:r w:rsidR="00D32E3D">
        <w:rPr>
          <w:rFonts w:cs="Arial"/>
          <w:lang w:eastAsia="en-GB"/>
        </w:rPr>
        <w:t>which will bring all the tennis courts up to a playable standard</w:t>
      </w:r>
      <w:r w:rsidR="00874250">
        <w:rPr>
          <w:rFonts w:cs="Arial"/>
          <w:lang w:eastAsia="en-GB"/>
        </w:rPr>
        <w:t>,</w:t>
      </w:r>
      <w:r w:rsidR="008E56CD">
        <w:rPr>
          <w:rFonts w:cs="Arial"/>
          <w:lang w:eastAsia="en-GB"/>
        </w:rPr>
        <w:t xml:space="preserve"> will improve access to tennis for the community</w:t>
      </w:r>
      <w:r w:rsidR="00874250">
        <w:rPr>
          <w:rFonts w:cs="Arial"/>
          <w:lang w:eastAsia="en-GB"/>
        </w:rPr>
        <w:t xml:space="preserve"> and</w:t>
      </w:r>
      <w:r w:rsidR="00D32E3D">
        <w:rPr>
          <w:rFonts w:cs="Arial"/>
          <w:lang w:eastAsia="en-GB"/>
        </w:rPr>
        <w:t xml:space="preserve"> </w:t>
      </w:r>
      <w:r>
        <w:rPr>
          <w:rFonts w:cs="Arial"/>
          <w:lang w:eastAsia="en-GB"/>
        </w:rPr>
        <w:t xml:space="preserve">will have a positive impact for people of all ages, for those with a disability </w:t>
      </w:r>
      <w:r w:rsidR="005E12D0">
        <w:rPr>
          <w:rFonts w:cs="Arial"/>
          <w:lang w:eastAsia="en-GB"/>
        </w:rPr>
        <w:t>(</w:t>
      </w:r>
      <w:r>
        <w:rPr>
          <w:rFonts w:cs="Arial"/>
          <w:lang w:eastAsia="en-GB"/>
        </w:rPr>
        <w:t>with specific sessions for this target group to be held</w:t>
      </w:r>
      <w:r w:rsidR="005E12D0">
        <w:rPr>
          <w:rFonts w:cs="Arial"/>
          <w:lang w:eastAsia="en-GB"/>
        </w:rPr>
        <w:t>)</w:t>
      </w:r>
      <w:r>
        <w:rPr>
          <w:rFonts w:cs="Arial"/>
          <w:lang w:eastAsia="en-GB"/>
        </w:rPr>
        <w:t xml:space="preserve">, </w:t>
      </w:r>
      <w:r w:rsidR="00C1254A">
        <w:rPr>
          <w:rFonts w:cs="Arial"/>
          <w:lang w:eastAsia="en-GB"/>
        </w:rPr>
        <w:t xml:space="preserve">and </w:t>
      </w:r>
      <w:r>
        <w:rPr>
          <w:rFonts w:cs="Arial"/>
          <w:lang w:eastAsia="en-GB"/>
        </w:rPr>
        <w:t>for all race/ethnic groups</w:t>
      </w:r>
      <w:r w:rsidR="00C1254A">
        <w:rPr>
          <w:rFonts w:cs="Arial"/>
          <w:lang w:eastAsia="en-GB"/>
        </w:rPr>
        <w:t>.</w:t>
      </w:r>
      <w:r w:rsidR="00D32E3D">
        <w:rPr>
          <w:rFonts w:cs="Arial"/>
          <w:lang w:eastAsia="en-GB"/>
        </w:rPr>
        <w:t xml:space="preserve"> There would still be </w:t>
      </w:r>
      <w:r w:rsidR="006D0EDF">
        <w:rPr>
          <w:rFonts w:cs="Arial"/>
          <w:lang w:eastAsia="en-GB"/>
        </w:rPr>
        <w:t>s</w:t>
      </w:r>
      <w:r w:rsidR="00D32E3D">
        <w:rPr>
          <w:rFonts w:cs="Arial"/>
          <w:lang w:eastAsia="en-GB"/>
        </w:rPr>
        <w:t xml:space="preserve">ome free tennis sessions available at some of the parks and the Council would work with the tennis operator to ensure that the charging rates for the play and play sessions are affordable for all including </w:t>
      </w:r>
      <w:r w:rsidR="002B3F29">
        <w:rPr>
          <w:rFonts w:cs="Arial"/>
          <w:lang w:eastAsia="en-GB"/>
        </w:rPr>
        <w:t>for children</w:t>
      </w:r>
      <w:r w:rsidR="00D32E3D">
        <w:rPr>
          <w:rFonts w:cs="Arial"/>
          <w:lang w:eastAsia="en-GB"/>
        </w:rPr>
        <w:t xml:space="preserve"> and older people. Tennis operators would be expected to detail </w:t>
      </w:r>
      <w:r w:rsidR="009705AB">
        <w:rPr>
          <w:rFonts w:cs="Arial"/>
          <w:lang w:eastAsia="en-GB"/>
        </w:rPr>
        <w:t>in a tennis development plan</w:t>
      </w:r>
      <w:r w:rsidR="00BC7AC9">
        <w:rPr>
          <w:rFonts w:cs="Arial"/>
          <w:lang w:eastAsia="en-GB"/>
        </w:rPr>
        <w:t xml:space="preserve"> </w:t>
      </w:r>
      <w:r w:rsidR="00D32E3D">
        <w:rPr>
          <w:rFonts w:cs="Arial"/>
          <w:lang w:eastAsia="en-GB"/>
        </w:rPr>
        <w:t xml:space="preserve">what </w:t>
      </w:r>
      <w:r w:rsidR="004369D4">
        <w:rPr>
          <w:rFonts w:cs="Arial"/>
          <w:lang w:eastAsia="en-GB"/>
        </w:rPr>
        <w:t xml:space="preserve">types of </w:t>
      </w:r>
      <w:r w:rsidR="00BC7AC9">
        <w:rPr>
          <w:rFonts w:cs="Arial"/>
          <w:lang w:eastAsia="en-GB"/>
        </w:rPr>
        <w:t xml:space="preserve">coaching </w:t>
      </w:r>
      <w:r w:rsidR="004369D4">
        <w:rPr>
          <w:rFonts w:cs="Arial"/>
          <w:lang w:eastAsia="en-GB"/>
        </w:rPr>
        <w:t>sessions they would provide</w:t>
      </w:r>
      <w:r w:rsidR="006D0EDF">
        <w:rPr>
          <w:rFonts w:cs="Arial"/>
          <w:lang w:eastAsia="en-GB"/>
        </w:rPr>
        <w:t>,</w:t>
      </w:r>
      <w:r w:rsidR="004369D4">
        <w:rPr>
          <w:rFonts w:cs="Arial"/>
          <w:lang w:eastAsia="en-GB"/>
        </w:rPr>
        <w:t xml:space="preserve"> including for people with disabilities</w:t>
      </w:r>
      <w:r w:rsidR="006D0EDF">
        <w:rPr>
          <w:rFonts w:cs="Arial"/>
          <w:lang w:eastAsia="en-GB"/>
        </w:rPr>
        <w:t>,</w:t>
      </w:r>
      <w:r w:rsidR="004369D4">
        <w:rPr>
          <w:rFonts w:cs="Arial"/>
          <w:lang w:eastAsia="en-GB"/>
        </w:rPr>
        <w:t xml:space="preserve"> as part of the procurement process for a tennis operator.</w:t>
      </w:r>
      <w:r w:rsidR="00BC7AC9">
        <w:rPr>
          <w:rFonts w:cs="Arial"/>
          <w:lang w:eastAsia="en-GB"/>
        </w:rPr>
        <w:t xml:space="preserve"> The operator would also </w:t>
      </w:r>
      <w:r w:rsidR="002B3F29">
        <w:rPr>
          <w:rFonts w:cs="Arial"/>
          <w:lang w:eastAsia="en-GB"/>
        </w:rPr>
        <w:t xml:space="preserve">be expected to offer competitive tennis opportunities. </w:t>
      </w:r>
    </w:p>
    <w:p w14:paraId="2D19C41A" w14:textId="77777777" w:rsidR="00333FAA" w:rsidRDefault="00333FAA" w:rsidP="008152C6">
      <w:pPr>
        <w:pStyle w:val="Heading3"/>
        <w:numPr>
          <w:ilvl w:val="0"/>
          <w:numId w:val="21"/>
        </w:numPr>
        <w:spacing w:before="480" w:after="240"/>
      </w:pPr>
      <w:r>
        <w:t>Council Priorities</w:t>
      </w:r>
    </w:p>
    <w:p w14:paraId="5084E246" w14:textId="77777777" w:rsidR="00D91C9E" w:rsidRPr="00D91C9E" w:rsidRDefault="000F2281" w:rsidP="005346ED">
      <w:pPr>
        <w:numPr>
          <w:ilvl w:val="1"/>
          <w:numId w:val="20"/>
        </w:numPr>
        <w:rPr>
          <w:rFonts w:eastAsia="Arial"/>
        </w:rPr>
      </w:pPr>
      <w:r>
        <w:rPr>
          <w:rFonts w:cs="Arial"/>
          <w:szCs w:val="24"/>
          <w:lang w:val="en-US"/>
        </w:rPr>
        <w:t xml:space="preserve">This decision will support the Council priority of </w:t>
      </w:r>
      <w:r w:rsidR="00B27D8D">
        <w:rPr>
          <w:rFonts w:cs="Arial"/>
          <w:szCs w:val="24"/>
          <w:lang w:val="en-US"/>
        </w:rPr>
        <w:t>a</w:t>
      </w:r>
      <w:r>
        <w:rPr>
          <w:rFonts w:cs="Arial"/>
          <w:szCs w:val="24"/>
          <w:lang w:val="en-US"/>
        </w:rPr>
        <w:t xml:space="preserve">ddressing </w:t>
      </w:r>
      <w:r w:rsidR="00B27D8D">
        <w:rPr>
          <w:rFonts w:cs="Arial"/>
          <w:szCs w:val="24"/>
          <w:lang w:val="en-US"/>
        </w:rPr>
        <w:t>h</w:t>
      </w:r>
      <w:r>
        <w:rPr>
          <w:rFonts w:cs="Arial"/>
          <w:szCs w:val="24"/>
          <w:lang w:val="en-US"/>
        </w:rPr>
        <w:t>ealth Inequalit</w:t>
      </w:r>
      <w:r w:rsidR="00B27D8D">
        <w:rPr>
          <w:rFonts w:cs="Arial"/>
          <w:szCs w:val="24"/>
          <w:lang w:val="en-US"/>
        </w:rPr>
        <w:t>ies</w:t>
      </w:r>
      <w:r>
        <w:rPr>
          <w:rFonts w:cs="Arial"/>
          <w:szCs w:val="24"/>
          <w:lang w:val="en-US"/>
        </w:rPr>
        <w:t xml:space="preserve"> by providing all residents with playable tennis courts that can be booked in advance, coaching sessions for all ages, and the opportunity to play competitive tennis against others of a similar ability. There would be pay and play sessions in place with the income generated ensuring that the courts can be maintained to a good standard</w:t>
      </w:r>
      <w:r w:rsidR="007E743C">
        <w:rPr>
          <w:rFonts w:cs="Arial"/>
          <w:szCs w:val="24"/>
          <w:lang w:val="en-US"/>
        </w:rPr>
        <w:t>, but there would also continue to be some free sessions available.</w:t>
      </w:r>
    </w:p>
    <w:p w14:paraId="14E9868D" w14:textId="77777777" w:rsidR="00333FAA" w:rsidRDefault="00333FAA" w:rsidP="000B7C66">
      <w:pPr>
        <w:pStyle w:val="Heading2"/>
        <w:spacing w:before="480" w:after="240"/>
      </w:pPr>
      <w:r>
        <w:t>Section 3 - Statutory Officer Clearance</w:t>
      </w:r>
    </w:p>
    <w:p w14:paraId="5DDB9102" w14:textId="77777777" w:rsidR="00A66326" w:rsidRPr="003647A2" w:rsidRDefault="00A66326" w:rsidP="00A66326">
      <w:pPr>
        <w:rPr>
          <w:bCs/>
          <w:sz w:val="28"/>
        </w:rPr>
      </w:pPr>
      <w:r w:rsidRPr="00A66326">
        <w:rPr>
          <w:b/>
          <w:sz w:val="28"/>
        </w:rPr>
        <w:t xml:space="preserve">Statutory Officer:  </w:t>
      </w:r>
      <w:r w:rsidR="003647A2">
        <w:rPr>
          <w:bCs/>
          <w:sz w:val="28"/>
        </w:rPr>
        <w:t>Jessie Man</w:t>
      </w:r>
    </w:p>
    <w:p w14:paraId="4B56E5FF" w14:textId="77777777" w:rsidR="00A66326" w:rsidRPr="00A66326" w:rsidRDefault="00A66326" w:rsidP="00A66326">
      <w:r w:rsidRPr="00A66326">
        <w:t>Signed on behalf of the Chief Financial Officer</w:t>
      </w:r>
    </w:p>
    <w:p w14:paraId="3D0B77D3" w14:textId="77777777" w:rsidR="00A66326" w:rsidRPr="004D0472" w:rsidRDefault="00A66326" w:rsidP="00A66326">
      <w:pPr>
        <w:spacing w:after="480"/>
        <w:rPr>
          <w:bCs/>
          <w:sz w:val="28"/>
        </w:rPr>
      </w:pPr>
      <w:r w:rsidRPr="00A66326">
        <w:rPr>
          <w:b/>
          <w:sz w:val="28"/>
        </w:rPr>
        <w:t xml:space="preserve">Date:  </w:t>
      </w:r>
      <w:r w:rsidR="004D0472">
        <w:rPr>
          <w:bCs/>
          <w:sz w:val="28"/>
        </w:rPr>
        <w:t>20/05/22</w:t>
      </w:r>
    </w:p>
    <w:p w14:paraId="7C00B74F" w14:textId="77777777" w:rsidR="00A66326" w:rsidRPr="00A74CE3" w:rsidRDefault="00A66326" w:rsidP="00A66326">
      <w:pPr>
        <w:rPr>
          <w:bCs/>
          <w:color w:val="FF0000"/>
          <w:sz w:val="28"/>
        </w:rPr>
      </w:pPr>
      <w:r w:rsidRPr="00A66326">
        <w:rPr>
          <w:b/>
          <w:sz w:val="28"/>
        </w:rPr>
        <w:t xml:space="preserve">Statutory Officer:  </w:t>
      </w:r>
      <w:r w:rsidR="00A74CE3">
        <w:rPr>
          <w:bCs/>
          <w:sz w:val="28"/>
        </w:rPr>
        <w:t>Nhlanhla Mahlangu</w:t>
      </w:r>
    </w:p>
    <w:p w14:paraId="428553DA" w14:textId="77777777" w:rsidR="00A66326" w:rsidRPr="00A66326" w:rsidRDefault="00A66326" w:rsidP="00A66326">
      <w:r w:rsidRPr="00A66326">
        <w:t>Signed on behalf of the Monitoring Officer</w:t>
      </w:r>
    </w:p>
    <w:p w14:paraId="4F7C0746" w14:textId="77777777" w:rsidR="00A66326" w:rsidRPr="00A74CE3" w:rsidRDefault="00A66326" w:rsidP="00A66326">
      <w:pPr>
        <w:spacing w:after="480"/>
        <w:rPr>
          <w:bCs/>
          <w:sz w:val="28"/>
        </w:rPr>
      </w:pPr>
      <w:r w:rsidRPr="00A66326">
        <w:rPr>
          <w:b/>
          <w:sz w:val="28"/>
        </w:rPr>
        <w:t xml:space="preserve">Date:  </w:t>
      </w:r>
      <w:r w:rsidR="00A74CE3">
        <w:rPr>
          <w:bCs/>
          <w:sz w:val="28"/>
        </w:rPr>
        <w:t>13/05/22</w:t>
      </w:r>
    </w:p>
    <w:p w14:paraId="642FDC46" w14:textId="77777777" w:rsidR="00BF5AFA" w:rsidRPr="003647A2" w:rsidRDefault="00BF5AFA" w:rsidP="00BF5AFA">
      <w:pPr>
        <w:rPr>
          <w:bCs/>
          <w:sz w:val="28"/>
        </w:rPr>
      </w:pPr>
      <w:r>
        <w:rPr>
          <w:b/>
          <w:sz w:val="28"/>
        </w:rPr>
        <w:t>Chief</w:t>
      </w:r>
      <w:r w:rsidRPr="00A66326">
        <w:rPr>
          <w:b/>
          <w:sz w:val="28"/>
        </w:rPr>
        <w:t xml:space="preserve"> Officer:  </w:t>
      </w:r>
      <w:r w:rsidR="003647A2">
        <w:rPr>
          <w:bCs/>
          <w:sz w:val="28"/>
        </w:rPr>
        <w:t>Dipti Patel</w:t>
      </w:r>
    </w:p>
    <w:p w14:paraId="1B224D16" w14:textId="77777777" w:rsidR="00BF5AFA" w:rsidRPr="00A66326" w:rsidRDefault="00BF5AFA" w:rsidP="00BF5AFA">
      <w:r w:rsidRPr="00A66326">
        <w:t xml:space="preserve">Signed </w:t>
      </w:r>
      <w:r>
        <w:t>off by the Corporate Director</w:t>
      </w:r>
      <w:r w:rsidR="003647A2">
        <w:t xml:space="preserve"> - </w:t>
      </w:r>
      <w:r w:rsidR="001C7612">
        <w:t>Place</w:t>
      </w:r>
    </w:p>
    <w:p w14:paraId="00527E84" w14:textId="77777777" w:rsidR="00BF5AFA" w:rsidRPr="00A66326" w:rsidRDefault="00BF5AFA" w:rsidP="00BF5AFA">
      <w:pPr>
        <w:spacing w:after="480"/>
        <w:rPr>
          <w:sz w:val="28"/>
        </w:rPr>
      </w:pPr>
      <w:r w:rsidRPr="00A66326">
        <w:rPr>
          <w:b/>
          <w:sz w:val="28"/>
        </w:rPr>
        <w:t xml:space="preserve">Date:  </w:t>
      </w:r>
      <w:r w:rsidR="005346ED" w:rsidRPr="005346ED">
        <w:rPr>
          <w:bCs/>
          <w:sz w:val="28"/>
        </w:rPr>
        <w:t>06/06/2022</w:t>
      </w:r>
    </w:p>
    <w:p w14:paraId="77CC325D" w14:textId="77777777" w:rsidR="00BF5AFA" w:rsidRPr="003647A2" w:rsidRDefault="00BF5AFA" w:rsidP="00BF5AFA">
      <w:pPr>
        <w:rPr>
          <w:bCs/>
          <w:sz w:val="28"/>
        </w:rPr>
      </w:pPr>
      <w:r>
        <w:rPr>
          <w:b/>
          <w:sz w:val="28"/>
        </w:rPr>
        <w:t>Head of Procurement</w:t>
      </w:r>
      <w:r w:rsidRPr="00A66326">
        <w:rPr>
          <w:b/>
          <w:sz w:val="28"/>
        </w:rPr>
        <w:t xml:space="preserve">:  </w:t>
      </w:r>
      <w:proofErr w:type="spellStart"/>
      <w:r w:rsidR="0050543F">
        <w:rPr>
          <w:bCs/>
          <w:sz w:val="28"/>
        </w:rPr>
        <w:t>Marzuki</w:t>
      </w:r>
      <w:proofErr w:type="spellEnd"/>
      <w:r w:rsidR="0050543F">
        <w:rPr>
          <w:bCs/>
          <w:sz w:val="28"/>
        </w:rPr>
        <w:t xml:space="preserve"> Haji</w:t>
      </w:r>
      <w:r w:rsidR="003B13F0">
        <w:rPr>
          <w:bCs/>
          <w:sz w:val="28"/>
        </w:rPr>
        <w:t xml:space="preserve"> </w:t>
      </w:r>
    </w:p>
    <w:p w14:paraId="134B0CAF" w14:textId="0210E46B" w:rsidR="0050543F" w:rsidRDefault="00BF5AFA" w:rsidP="00B02C05">
      <w:pPr>
        <w:rPr>
          <w:b/>
          <w:sz w:val="28"/>
        </w:rPr>
      </w:pPr>
      <w:r w:rsidRPr="00A66326">
        <w:t xml:space="preserve">Signed on behalf of the </w:t>
      </w:r>
      <w:r>
        <w:t>Head of Procurement</w:t>
      </w:r>
    </w:p>
    <w:p w14:paraId="4132411C" w14:textId="77777777" w:rsidR="00BF5AFA" w:rsidRPr="0050543F" w:rsidRDefault="00BF5AFA" w:rsidP="00BF5AFA">
      <w:pPr>
        <w:spacing w:after="480"/>
        <w:rPr>
          <w:bCs/>
          <w:sz w:val="28"/>
        </w:rPr>
      </w:pPr>
      <w:r w:rsidRPr="00A66326">
        <w:rPr>
          <w:b/>
          <w:sz w:val="28"/>
        </w:rPr>
        <w:lastRenderedPageBreak/>
        <w:t xml:space="preserve">Date:  </w:t>
      </w:r>
      <w:r w:rsidR="0050543F">
        <w:rPr>
          <w:bCs/>
          <w:sz w:val="28"/>
        </w:rPr>
        <w:t>16/05/22</w:t>
      </w:r>
    </w:p>
    <w:p w14:paraId="3FF8971A" w14:textId="77777777" w:rsidR="00BF5AFA" w:rsidRPr="009B4B5F" w:rsidRDefault="00BF5AFA" w:rsidP="00BF5AFA">
      <w:pPr>
        <w:rPr>
          <w:bCs/>
          <w:sz w:val="28"/>
        </w:rPr>
      </w:pPr>
      <w:r>
        <w:rPr>
          <w:b/>
          <w:sz w:val="28"/>
        </w:rPr>
        <w:t>Head of Internal Audit</w:t>
      </w:r>
      <w:r w:rsidRPr="00A66326">
        <w:rPr>
          <w:b/>
          <w:sz w:val="28"/>
        </w:rPr>
        <w:t xml:space="preserve">:  </w:t>
      </w:r>
      <w:r w:rsidR="009B4B5F">
        <w:rPr>
          <w:bCs/>
          <w:sz w:val="28"/>
        </w:rPr>
        <w:t>Susan Dixson</w:t>
      </w:r>
    </w:p>
    <w:p w14:paraId="3EC9A8AC" w14:textId="77777777" w:rsidR="00BF5AFA" w:rsidRPr="00A66326" w:rsidRDefault="00BF5AFA" w:rsidP="00BF5AFA">
      <w:r w:rsidRPr="00A66326">
        <w:t xml:space="preserve">Signed by the </w:t>
      </w:r>
      <w:r>
        <w:t>Head of Internal Audit</w:t>
      </w:r>
    </w:p>
    <w:p w14:paraId="374D0033" w14:textId="77777777" w:rsidR="00BF5AFA" w:rsidRPr="006C7701" w:rsidRDefault="00BF5AFA" w:rsidP="00BF5AFA">
      <w:pPr>
        <w:pStyle w:val="Heading2"/>
        <w:spacing w:after="240"/>
        <w:rPr>
          <w:rFonts w:ascii="Arial" w:hAnsi="Arial"/>
          <w:b w:val="0"/>
          <w:bCs w:val="0"/>
          <w:sz w:val="28"/>
        </w:rPr>
      </w:pPr>
      <w:r w:rsidRPr="009B4B5F">
        <w:rPr>
          <w:rFonts w:ascii="Arial" w:hAnsi="Arial"/>
          <w:sz w:val="28"/>
        </w:rPr>
        <w:t>Date:</w:t>
      </w:r>
      <w:r w:rsidR="006C7701">
        <w:rPr>
          <w:rFonts w:ascii="Arial" w:hAnsi="Arial"/>
          <w:sz w:val="28"/>
        </w:rPr>
        <w:t xml:space="preserve"> </w:t>
      </w:r>
      <w:r w:rsidR="006C7701">
        <w:rPr>
          <w:rFonts w:ascii="Arial" w:hAnsi="Arial"/>
          <w:b w:val="0"/>
          <w:bCs w:val="0"/>
          <w:sz w:val="28"/>
        </w:rPr>
        <w:t>24/05/22</w:t>
      </w:r>
    </w:p>
    <w:p w14:paraId="3E402A25" w14:textId="77777777" w:rsidR="003313EA" w:rsidRDefault="003313EA" w:rsidP="00BF5AFA">
      <w:pPr>
        <w:pStyle w:val="Heading2"/>
        <w:spacing w:before="480" w:after="240"/>
      </w:pPr>
      <w:r>
        <w:t>Mandatory Checks</w:t>
      </w:r>
    </w:p>
    <w:p w14:paraId="3E9D94A0" w14:textId="77777777" w:rsidR="003647A2" w:rsidRPr="00A406F3" w:rsidRDefault="003647A2" w:rsidP="003647A2">
      <w:pPr>
        <w:pStyle w:val="Heading3"/>
        <w:ind w:left="0" w:firstLine="0"/>
        <w:jc w:val="left"/>
      </w:pPr>
      <w:r w:rsidRPr="003313EA">
        <w:t xml:space="preserve">Ward Councillors </w:t>
      </w:r>
      <w:r>
        <w:t xml:space="preserve">notified:  </w:t>
      </w:r>
      <w:r w:rsidRPr="00A406F3">
        <w:t>NO</w:t>
      </w:r>
      <w:r>
        <w:t xml:space="preserve"> -</w:t>
      </w:r>
      <w:r w:rsidRPr="00333FAA">
        <w:t xml:space="preserve"> impacts on all Wards</w:t>
      </w:r>
      <w:r w:rsidRPr="00A406F3">
        <w:t xml:space="preserve"> </w:t>
      </w:r>
    </w:p>
    <w:p w14:paraId="3E5B8708" w14:textId="77777777" w:rsidR="003647A2" w:rsidRPr="00202D79" w:rsidRDefault="003647A2" w:rsidP="003647A2">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450FBD84" w14:textId="77777777" w:rsidR="003647A2" w:rsidRPr="009A6CE4" w:rsidRDefault="003647A2" w:rsidP="003647A2">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9A6CE4">
        <w:rPr>
          <w:b w:val="0"/>
          <w:bCs w:val="0"/>
        </w:rPr>
        <w:t xml:space="preserve">Micah McLean </w:t>
      </w:r>
    </w:p>
    <w:p w14:paraId="07E65D9A" w14:textId="77777777" w:rsidR="00333FAA" w:rsidRDefault="0049229B" w:rsidP="00842757">
      <w:pPr>
        <w:pStyle w:val="Heading2"/>
        <w:spacing w:before="480" w:after="240"/>
      </w:pPr>
      <w:r>
        <w:t xml:space="preserve">Section 4 </w:t>
      </w:r>
      <w:r w:rsidR="00333FAA">
        <w:t>- Contact Details and Background Papers</w:t>
      </w:r>
    </w:p>
    <w:p w14:paraId="2BA19EF5" w14:textId="77777777" w:rsidR="0049229B" w:rsidRDefault="0049229B" w:rsidP="0049229B">
      <w:pPr>
        <w:pStyle w:val="Infotext"/>
        <w:spacing w:after="240"/>
        <w:rPr>
          <w:rStyle w:val="Hyperlink"/>
        </w:rPr>
      </w:pPr>
      <w:r w:rsidRPr="004E47FC">
        <w:rPr>
          <w:b/>
        </w:rPr>
        <w:t xml:space="preserve">Contact:  </w:t>
      </w:r>
      <w:r>
        <w:t xml:space="preserve">Tim Bryan – Head of Service, Culture and Leisure. Tel: 07917076800. Email:  </w:t>
      </w:r>
      <w:hyperlink r:id="rId14" w:history="1">
        <w:r w:rsidRPr="00DF4FCA">
          <w:rPr>
            <w:rStyle w:val="Hyperlink"/>
          </w:rPr>
          <w:t>tim.bryan@harrow.gov.uk</w:t>
        </w:r>
      </w:hyperlink>
    </w:p>
    <w:p w14:paraId="725BF7D0" w14:textId="77777777" w:rsidR="00333FAA" w:rsidRPr="009A6CE4" w:rsidRDefault="00333FAA" w:rsidP="00CC18AC">
      <w:pPr>
        <w:pStyle w:val="Infotext"/>
        <w:spacing w:after="240"/>
        <w:rPr>
          <w:bCs/>
        </w:rPr>
      </w:pPr>
      <w:r w:rsidRPr="004E47FC">
        <w:rPr>
          <w:b/>
        </w:rPr>
        <w:t xml:space="preserve">Background Papers: </w:t>
      </w:r>
      <w:r w:rsidR="005808FB">
        <w:rPr>
          <w:b/>
        </w:rPr>
        <w:t xml:space="preserve"> </w:t>
      </w:r>
      <w:r w:rsidR="009A6CE4">
        <w:rPr>
          <w:bCs/>
        </w:rPr>
        <w:t>None</w:t>
      </w:r>
    </w:p>
    <w:p w14:paraId="4D3EEC75" w14:textId="77777777" w:rsidR="00842757" w:rsidRPr="007C0DC3" w:rsidRDefault="00842757" w:rsidP="0049229B">
      <w:pPr>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513E7F7" w14:textId="2F19D982" w:rsidR="000D4E36" w:rsidRPr="00ED6776" w:rsidRDefault="00842757" w:rsidP="00B02C05">
      <w:pPr>
        <w:pStyle w:val="Infotext"/>
        <w:spacing w:before="240"/>
        <w:rPr>
          <w:rFonts w:cs="Arial"/>
          <w:i/>
          <w:sz w:val="24"/>
          <w:szCs w:val="24"/>
          <w:lang w:eastAsia="en-GB"/>
        </w:rPr>
      </w:pPr>
      <w:r w:rsidRPr="003D78F6">
        <w:rPr>
          <w:b/>
        </w:rPr>
        <w:t xml:space="preserve">NO </w:t>
      </w:r>
    </w:p>
    <w:sectPr w:rsidR="000D4E36" w:rsidRPr="00ED6776" w:rsidSect="00892285">
      <w:headerReference w:type="default" r:id="rId15"/>
      <w:headerReference w:type="first" r:id="rId16"/>
      <w:footerReference w:type="first" r:id="rId17"/>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821A" w14:textId="77777777" w:rsidR="00512BDB" w:rsidRDefault="00512BDB">
      <w:r>
        <w:separator/>
      </w:r>
    </w:p>
  </w:endnote>
  <w:endnote w:type="continuationSeparator" w:id="0">
    <w:p w14:paraId="23A8555E" w14:textId="77777777" w:rsidR="00512BDB" w:rsidRDefault="0051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C26"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ECC4" w14:textId="77777777" w:rsidR="00512BDB" w:rsidRDefault="00512BDB">
      <w:r>
        <w:separator/>
      </w:r>
    </w:p>
  </w:footnote>
  <w:footnote w:type="continuationSeparator" w:id="0">
    <w:p w14:paraId="43DD4B17" w14:textId="77777777" w:rsidR="00512BDB" w:rsidRDefault="0051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C2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B97"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415"/>
    <w:multiLevelType w:val="multilevel"/>
    <w:tmpl w:val="EE361D04"/>
    <w:lvl w:ilvl="0">
      <w:start w:val="1"/>
      <w:numFmt w:val="decimal"/>
      <w:lvlText w:val="%1."/>
      <w:lvlJc w:val="left"/>
      <w:pPr>
        <w:ind w:left="1080" w:hanging="360"/>
      </w:pPr>
      <w:rPr>
        <w:rFonts w:hint="default"/>
      </w:rPr>
    </w:lvl>
    <w:lvl w:ilvl="1">
      <w:start w:val="5"/>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9B1DD0"/>
    <w:multiLevelType w:val="multilevel"/>
    <w:tmpl w:val="BBD0BDF4"/>
    <w:lvl w:ilvl="0">
      <w:start w:val="5"/>
      <w:numFmt w:val="decimal"/>
      <w:lvlText w:val="%1"/>
      <w:lvlJc w:val="left"/>
      <w:pPr>
        <w:ind w:left="360" w:hanging="360"/>
      </w:pPr>
      <w:rPr>
        <w:rFonts w:ascii="Arial" w:hAnsi="Arial" w:cs="Times New Roman" w:hint="default"/>
        <w:sz w:val="24"/>
      </w:rPr>
    </w:lvl>
    <w:lvl w:ilvl="1">
      <w:start w:val="1"/>
      <w:numFmt w:val="decimal"/>
      <w:lvlText w:val="%1.%2"/>
      <w:lvlJc w:val="left"/>
      <w:pPr>
        <w:ind w:left="720" w:hanging="360"/>
      </w:pPr>
      <w:rPr>
        <w:rFonts w:ascii="Arial" w:hAnsi="Arial" w:cs="Times New Roman" w:hint="default"/>
        <w:sz w:val="24"/>
      </w:rPr>
    </w:lvl>
    <w:lvl w:ilvl="2">
      <w:start w:val="1"/>
      <w:numFmt w:val="decimal"/>
      <w:lvlText w:val="%1.%2.%3"/>
      <w:lvlJc w:val="left"/>
      <w:pPr>
        <w:ind w:left="1440" w:hanging="720"/>
      </w:pPr>
      <w:rPr>
        <w:rFonts w:ascii="Arial" w:hAnsi="Arial" w:cs="Times New Roman" w:hint="default"/>
        <w:sz w:val="24"/>
      </w:rPr>
    </w:lvl>
    <w:lvl w:ilvl="3">
      <w:start w:val="1"/>
      <w:numFmt w:val="decimal"/>
      <w:lvlText w:val="%1.%2.%3.%4"/>
      <w:lvlJc w:val="left"/>
      <w:pPr>
        <w:ind w:left="1800" w:hanging="720"/>
      </w:pPr>
      <w:rPr>
        <w:rFonts w:ascii="Arial" w:hAnsi="Arial" w:cs="Times New Roman" w:hint="default"/>
        <w:sz w:val="24"/>
      </w:rPr>
    </w:lvl>
    <w:lvl w:ilvl="4">
      <w:start w:val="1"/>
      <w:numFmt w:val="decimal"/>
      <w:lvlText w:val="%1.%2.%3.%4.%5"/>
      <w:lvlJc w:val="left"/>
      <w:pPr>
        <w:ind w:left="2160" w:hanging="720"/>
      </w:pPr>
      <w:rPr>
        <w:rFonts w:ascii="Arial" w:hAnsi="Arial" w:cs="Times New Roman" w:hint="default"/>
        <w:sz w:val="24"/>
      </w:rPr>
    </w:lvl>
    <w:lvl w:ilvl="5">
      <w:start w:val="1"/>
      <w:numFmt w:val="decimal"/>
      <w:lvlText w:val="%1.%2.%3.%4.%5.%6"/>
      <w:lvlJc w:val="left"/>
      <w:pPr>
        <w:ind w:left="2880" w:hanging="1080"/>
      </w:pPr>
      <w:rPr>
        <w:rFonts w:ascii="Arial" w:hAnsi="Arial" w:cs="Times New Roman" w:hint="default"/>
        <w:sz w:val="24"/>
      </w:rPr>
    </w:lvl>
    <w:lvl w:ilvl="6">
      <w:start w:val="1"/>
      <w:numFmt w:val="decimal"/>
      <w:lvlText w:val="%1.%2.%3.%4.%5.%6.%7"/>
      <w:lvlJc w:val="left"/>
      <w:pPr>
        <w:ind w:left="3240" w:hanging="1080"/>
      </w:pPr>
      <w:rPr>
        <w:rFonts w:ascii="Arial" w:hAnsi="Arial" w:cs="Times New Roman" w:hint="default"/>
        <w:sz w:val="24"/>
      </w:rPr>
    </w:lvl>
    <w:lvl w:ilvl="7">
      <w:start w:val="1"/>
      <w:numFmt w:val="decimal"/>
      <w:lvlText w:val="%1.%2.%3.%4.%5.%6.%7.%8"/>
      <w:lvlJc w:val="left"/>
      <w:pPr>
        <w:ind w:left="3960" w:hanging="1440"/>
      </w:pPr>
      <w:rPr>
        <w:rFonts w:ascii="Arial" w:hAnsi="Arial" w:cs="Times New Roman" w:hint="default"/>
        <w:sz w:val="24"/>
      </w:rPr>
    </w:lvl>
    <w:lvl w:ilvl="8">
      <w:start w:val="1"/>
      <w:numFmt w:val="decimal"/>
      <w:lvlText w:val="%1.%2.%3.%4.%5.%6.%7.%8.%9"/>
      <w:lvlJc w:val="left"/>
      <w:pPr>
        <w:ind w:left="4320" w:hanging="1440"/>
      </w:pPr>
      <w:rPr>
        <w:rFonts w:ascii="Arial" w:hAnsi="Arial" w:cs="Times New Roman" w:hint="default"/>
        <w:sz w:val="24"/>
      </w:rPr>
    </w:lvl>
  </w:abstractNum>
  <w:abstractNum w:abstractNumId="2" w15:restartNumberingAfterBreak="0">
    <w:nsid w:val="12753774"/>
    <w:multiLevelType w:val="multilevel"/>
    <w:tmpl w:val="495009E0"/>
    <w:lvl w:ilvl="0">
      <w:start w:val="11"/>
      <w:numFmt w:val="decimal"/>
      <w:lvlText w:val="%1"/>
      <w:lvlJc w:val="left"/>
      <w:pPr>
        <w:ind w:left="460" w:hanging="460"/>
      </w:pPr>
      <w:rPr>
        <w:rFonts w:eastAsia="Times New Roman" w:cs="Arial" w:hint="default"/>
      </w:rPr>
    </w:lvl>
    <w:lvl w:ilvl="1">
      <w:start w:val="1"/>
      <w:numFmt w:val="decimal"/>
      <w:lvlText w:val="%1.%2"/>
      <w:lvlJc w:val="left"/>
      <w:pPr>
        <w:ind w:left="820" w:hanging="460"/>
      </w:pPr>
      <w:rPr>
        <w:rFonts w:eastAsia="Times New Roman" w:cs="Arial" w:hint="default"/>
      </w:rPr>
    </w:lvl>
    <w:lvl w:ilvl="2">
      <w:start w:val="1"/>
      <w:numFmt w:val="decimal"/>
      <w:lvlText w:val="%1.%2.%3"/>
      <w:lvlJc w:val="left"/>
      <w:pPr>
        <w:ind w:left="1440" w:hanging="720"/>
      </w:pPr>
      <w:rPr>
        <w:rFonts w:eastAsia="Times New Roman" w:cs="Arial" w:hint="default"/>
      </w:rPr>
    </w:lvl>
    <w:lvl w:ilvl="3">
      <w:start w:val="1"/>
      <w:numFmt w:val="decimal"/>
      <w:lvlText w:val="%1.%2.%3.%4"/>
      <w:lvlJc w:val="left"/>
      <w:pPr>
        <w:ind w:left="2160" w:hanging="1080"/>
      </w:pPr>
      <w:rPr>
        <w:rFonts w:eastAsia="Times New Roman" w:cs="Arial" w:hint="default"/>
      </w:rPr>
    </w:lvl>
    <w:lvl w:ilvl="4">
      <w:start w:val="1"/>
      <w:numFmt w:val="decimal"/>
      <w:lvlText w:val="%1.%2.%3.%4.%5"/>
      <w:lvlJc w:val="left"/>
      <w:pPr>
        <w:ind w:left="2520" w:hanging="1080"/>
      </w:pPr>
      <w:rPr>
        <w:rFonts w:eastAsia="Times New Roman" w:cs="Arial" w:hint="default"/>
      </w:rPr>
    </w:lvl>
    <w:lvl w:ilvl="5">
      <w:start w:val="1"/>
      <w:numFmt w:val="decimal"/>
      <w:lvlText w:val="%1.%2.%3.%4.%5.%6"/>
      <w:lvlJc w:val="left"/>
      <w:pPr>
        <w:ind w:left="3240" w:hanging="1440"/>
      </w:pPr>
      <w:rPr>
        <w:rFonts w:eastAsia="Times New Roman" w:cs="Arial" w:hint="default"/>
      </w:rPr>
    </w:lvl>
    <w:lvl w:ilvl="6">
      <w:start w:val="1"/>
      <w:numFmt w:val="decimal"/>
      <w:lvlText w:val="%1.%2.%3.%4.%5.%6.%7"/>
      <w:lvlJc w:val="left"/>
      <w:pPr>
        <w:ind w:left="3600" w:hanging="1440"/>
      </w:pPr>
      <w:rPr>
        <w:rFonts w:eastAsia="Times New Roman" w:cs="Arial" w:hint="default"/>
      </w:rPr>
    </w:lvl>
    <w:lvl w:ilvl="7">
      <w:start w:val="1"/>
      <w:numFmt w:val="decimal"/>
      <w:lvlText w:val="%1.%2.%3.%4.%5.%6.%7.%8"/>
      <w:lvlJc w:val="left"/>
      <w:pPr>
        <w:ind w:left="4320" w:hanging="1800"/>
      </w:pPr>
      <w:rPr>
        <w:rFonts w:eastAsia="Times New Roman" w:cs="Arial" w:hint="default"/>
      </w:rPr>
    </w:lvl>
    <w:lvl w:ilvl="8">
      <w:start w:val="1"/>
      <w:numFmt w:val="decimal"/>
      <w:lvlText w:val="%1.%2.%3.%4.%5.%6.%7.%8.%9"/>
      <w:lvlJc w:val="left"/>
      <w:pPr>
        <w:ind w:left="4680" w:hanging="1800"/>
      </w:pPr>
      <w:rPr>
        <w:rFonts w:eastAsia="Times New Roman" w:cs="Arial" w:hint="default"/>
      </w:rPr>
    </w:lvl>
  </w:abstractNum>
  <w:abstractNum w:abstractNumId="3" w15:restartNumberingAfterBreak="0">
    <w:nsid w:val="1B8D1728"/>
    <w:multiLevelType w:val="multilevel"/>
    <w:tmpl w:val="2E06E6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01644"/>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4C0F51"/>
    <w:multiLevelType w:val="multilevel"/>
    <w:tmpl w:val="A5AE92CA"/>
    <w:lvl w:ilvl="0">
      <w:start w:val="10"/>
      <w:numFmt w:val="decimal"/>
      <w:lvlText w:val="%1"/>
      <w:lvlJc w:val="left"/>
      <w:pPr>
        <w:ind w:left="460" w:hanging="460"/>
      </w:pPr>
      <w:rPr>
        <w:rFonts w:cs="Times New Roman" w:hint="default"/>
      </w:rPr>
    </w:lvl>
    <w:lvl w:ilvl="1">
      <w:start w:val="1"/>
      <w:numFmt w:val="decimal"/>
      <w:lvlText w:val="%1.%2"/>
      <w:lvlJc w:val="left"/>
      <w:pPr>
        <w:ind w:left="820" w:hanging="4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22DB5FFB"/>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90432D"/>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4D22DD"/>
    <w:multiLevelType w:val="multilevel"/>
    <w:tmpl w:val="9232F4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C2107"/>
    <w:multiLevelType w:val="multilevel"/>
    <w:tmpl w:val="808276E2"/>
    <w:lvl w:ilvl="0">
      <w:start w:val="6"/>
      <w:numFmt w:val="decimal"/>
      <w:lvlText w:val="%1"/>
      <w:lvlJc w:val="left"/>
      <w:pPr>
        <w:ind w:left="360" w:hanging="360"/>
      </w:pPr>
      <w:rPr>
        <w:rFonts w:cs="Arial" w:hint="default"/>
        <w:color w:val="auto"/>
      </w:rPr>
    </w:lvl>
    <w:lvl w:ilvl="1">
      <w:start w:val="1"/>
      <w:numFmt w:val="decimal"/>
      <w:lvlText w:val="%1.%2"/>
      <w:lvlJc w:val="left"/>
      <w:pPr>
        <w:ind w:left="720" w:hanging="360"/>
      </w:pPr>
      <w:rPr>
        <w:rFonts w:cs="Arial" w:hint="default"/>
        <w:color w:val="auto"/>
      </w:rPr>
    </w:lvl>
    <w:lvl w:ilvl="2">
      <w:start w:val="1"/>
      <w:numFmt w:val="decimal"/>
      <w:lvlText w:val="%1.%2.%3"/>
      <w:lvlJc w:val="left"/>
      <w:pPr>
        <w:ind w:left="1440" w:hanging="720"/>
      </w:pPr>
      <w:rPr>
        <w:rFonts w:cs="Arial" w:hint="default"/>
        <w:color w:val="auto"/>
      </w:rPr>
    </w:lvl>
    <w:lvl w:ilvl="3">
      <w:start w:val="1"/>
      <w:numFmt w:val="decimal"/>
      <w:lvlText w:val="%1.%2.%3.%4"/>
      <w:lvlJc w:val="left"/>
      <w:pPr>
        <w:ind w:left="2160" w:hanging="1080"/>
      </w:pPr>
      <w:rPr>
        <w:rFonts w:cs="Arial" w:hint="default"/>
        <w:color w:val="auto"/>
      </w:rPr>
    </w:lvl>
    <w:lvl w:ilvl="4">
      <w:start w:val="1"/>
      <w:numFmt w:val="decimal"/>
      <w:lvlText w:val="%1.%2.%3.%4.%5"/>
      <w:lvlJc w:val="left"/>
      <w:pPr>
        <w:ind w:left="2520" w:hanging="1080"/>
      </w:pPr>
      <w:rPr>
        <w:rFonts w:cs="Arial" w:hint="default"/>
        <w:color w:val="auto"/>
      </w:rPr>
    </w:lvl>
    <w:lvl w:ilvl="5">
      <w:start w:val="1"/>
      <w:numFmt w:val="decimal"/>
      <w:lvlText w:val="%1.%2.%3.%4.%5.%6"/>
      <w:lvlJc w:val="left"/>
      <w:pPr>
        <w:ind w:left="3240" w:hanging="1440"/>
      </w:pPr>
      <w:rPr>
        <w:rFonts w:cs="Arial" w:hint="default"/>
        <w:color w:val="auto"/>
      </w:rPr>
    </w:lvl>
    <w:lvl w:ilvl="6">
      <w:start w:val="1"/>
      <w:numFmt w:val="decimal"/>
      <w:lvlText w:val="%1.%2.%3.%4.%5.%6.%7"/>
      <w:lvlJc w:val="left"/>
      <w:pPr>
        <w:ind w:left="3600" w:hanging="1440"/>
      </w:pPr>
      <w:rPr>
        <w:rFonts w:cs="Arial" w:hint="default"/>
        <w:color w:val="auto"/>
      </w:rPr>
    </w:lvl>
    <w:lvl w:ilvl="7">
      <w:start w:val="1"/>
      <w:numFmt w:val="decimal"/>
      <w:lvlText w:val="%1.%2.%3.%4.%5.%6.%7.%8"/>
      <w:lvlJc w:val="left"/>
      <w:pPr>
        <w:ind w:left="4320" w:hanging="1800"/>
      </w:pPr>
      <w:rPr>
        <w:rFonts w:cs="Arial" w:hint="default"/>
        <w:color w:val="auto"/>
      </w:rPr>
    </w:lvl>
    <w:lvl w:ilvl="8">
      <w:start w:val="1"/>
      <w:numFmt w:val="decimal"/>
      <w:lvlText w:val="%1.%2.%3.%4.%5.%6.%7.%8.%9"/>
      <w:lvlJc w:val="left"/>
      <w:pPr>
        <w:ind w:left="4680" w:hanging="1800"/>
      </w:pPr>
      <w:rPr>
        <w:rFonts w:cs="Arial" w:hint="default"/>
        <w:color w:val="auto"/>
      </w:rPr>
    </w:lvl>
  </w:abstractNum>
  <w:abstractNum w:abstractNumId="10" w15:restartNumberingAfterBreak="0">
    <w:nsid w:val="32482B9F"/>
    <w:multiLevelType w:val="multilevel"/>
    <w:tmpl w:val="B876FE7E"/>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1D2B06"/>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FE2A10"/>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6D2DC5"/>
    <w:multiLevelType w:val="hybridMultilevel"/>
    <w:tmpl w:val="311082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D6346"/>
    <w:multiLevelType w:val="multilevel"/>
    <w:tmpl w:val="1A4AF6D0"/>
    <w:lvl w:ilvl="0">
      <w:start w:val="6"/>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7B93ACC"/>
    <w:multiLevelType w:val="multilevel"/>
    <w:tmpl w:val="BD108C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F6322A"/>
    <w:multiLevelType w:val="hybridMultilevel"/>
    <w:tmpl w:val="13BEA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B70C1C"/>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D311EF"/>
    <w:multiLevelType w:val="multilevel"/>
    <w:tmpl w:val="B876FE7E"/>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A0C58AF"/>
    <w:multiLevelType w:val="hybridMultilevel"/>
    <w:tmpl w:val="FAE8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9"/>
  </w:num>
  <w:num w:numId="4">
    <w:abstractNumId w:val="17"/>
  </w:num>
  <w:num w:numId="5">
    <w:abstractNumId w:val="14"/>
  </w:num>
  <w:num w:numId="6">
    <w:abstractNumId w:val="3"/>
  </w:num>
  <w:num w:numId="7">
    <w:abstractNumId w:val="20"/>
  </w:num>
  <w:num w:numId="8">
    <w:abstractNumId w:val="6"/>
  </w:num>
  <w:num w:numId="9">
    <w:abstractNumId w:val="12"/>
  </w:num>
  <w:num w:numId="10">
    <w:abstractNumId w:val="4"/>
  </w:num>
  <w:num w:numId="11">
    <w:abstractNumId w:val="10"/>
  </w:num>
  <w:num w:numId="12">
    <w:abstractNumId w:val="1"/>
  </w:num>
  <w:num w:numId="13">
    <w:abstractNumId w:val="9"/>
  </w:num>
  <w:num w:numId="14">
    <w:abstractNumId w:val="16"/>
  </w:num>
  <w:num w:numId="15">
    <w:abstractNumId w:val="7"/>
  </w:num>
  <w:num w:numId="16">
    <w:abstractNumId w:val="18"/>
  </w:num>
  <w:num w:numId="17">
    <w:abstractNumId w:val="8"/>
  </w:num>
  <w:num w:numId="18">
    <w:abstractNumId w:val="11"/>
  </w:num>
  <w:num w:numId="19">
    <w:abstractNumId w:val="5"/>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B8C"/>
    <w:rsid w:val="00005213"/>
    <w:rsid w:val="00013722"/>
    <w:rsid w:val="000226A6"/>
    <w:rsid w:val="00023640"/>
    <w:rsid w:val="000326DB"/>
    <w:rsid w:val="0003384D"/>
    <w:rsid w:val="00034F3E"/>
    <w:rsid w:val="0004029A"/>
    <w:rsid w:val="00041736"/>
    <w:rsid w:val="00043DA0"/>
    <w:rsid w:val="0004521C"/>
    <w:rsid w:val="000474E3"/>
    <w:rsid w:val="00052F7B"/>
    <w:rsid w:val="0005409E"/>
    <w:rsid w:val="00055928"/>
    <w:rsid w:val="0005693B"/>
    <w:rsid w:val="0006034E"/>
    <w:rsid w:val="00063783"/>
    <w:rsid w:val="00072AE6"/>
    <w:rsid w:val="00073765"/>
    <w:rsid w:val="00076645"/>
    <w:rsid w:val="0008018D"/>
    <w:rsid w:val="00085598"/>
    <w:rsid w:val="000906F4"/>
    <w:rsid w:val="00090DB3"/>
    <w:rsid w:val="000929A6"/>
    <w:rsid w:val="00094414"/>
    <w:rsid w:val="00095FA1"/>
    <w:rsid w:val="00097F29"/>
    <w:rsid w:val="000A29CF"/>
    <w:rsid w:val="000B2798"/>
    <w:rsid w:val="000B4A7A"/>
    <w:rsid w:val="000B5015"/>
    <w:rsid w:val="000B661F"/>
    <w:rsid w:val="000B788F"/>
    <w:rsid w:val="000B7C66"/>
    <w:rsid w:val="000B7F41"/>
    <w:rsid w:val="000C2752"/>
    <w:rsid w:val="000C3495"/>
    <w:rsid w:val="000D4E36"/>
    <w:rsid w:val="000E4B1E"/>
    <w:rsid w:val="000E62FE"/>
    <w:rsid w:val="000F2281"/>
    <w:rsid w:val="000F3076"/>
    <w:rsid w:val="00101ADA"/>
    <w:rsid w:val="00105B8A"/>
    <w:rsid w:val="00111C1A"/>
    <w:rsid w:val="001161E4"/>
    <w:rsid w:val="00117182"/>
    <w:rsid w:val="00125A26"/>
    <w:rsid w:val="00130768"/>
    <w:rsid w:val="001324CE"/>
    <w:rsid w:val="00133036"/>
    <w:rsid w:val="00144F94"/>
    <w:rsid w:val="00145668"/>
    <w:rsid w:val="001472A8"/>
    <w:rsid w:val="00152321"/>
    <w:rsid w:val="0015376F"/>
    <w:rsid w:val="00154969"/>
    <w:rsid w:val="00157A7C"/>
    <w:rsid w:val="001614E0"/>
    <w:rsid w:val="00171BD8"/>
    <w:rsid w:val="0017653E"/>
    <w:rsid w:val="001765B5"/>
    <w:rsid w:val="00182B01"/>
    <w:rsid w:val="001840D2"/>
    <w:rsid w:val="001966D7"/>
    <w:rsid w:val="001A5B0A"/>
    <w:rsid w:val="001B49A9"/>
    <w:rsid w:val="001B64E8"/>
    <w:rsid w:val="001C16CF"/>
    <w:rsid w:val="001C1AD7"/>
    <w:rsid w:val="001C4D2E"/>
    <w:rsid w:val="001C7612"/>
    <w:rsid w:val="001C7E35"/>
    <w:rsid w:val="001D2F46"/>
    <w:rsid w:val="001D4F6D"/>
    <w:rsid w:val="001E3C06"/>
    <w:rsid w:val="001E5BC1"/>
    <w:rsid w:val="001F0037"/>
    <w:rsid w:val="001F003A"/>
    <w:rsid w:val="001F0BE9"/>
    <w:rsid w:val="001F488F"/>
    <w:rsid w:val="001F6AF4"/>
    <w:rsid w:val="0020226F"/>
    <w:rsid w:val="00202D79"/>
    <w:rsid w:val="00205D2F"/>
    <w:rsid w:val="002146D9"/>
    <w:rsid w:val="00215C01"/>
    <w:rsid w:val="00215E8F"/>
    <w:rsid w:val="0022095D"/>
    <w:rsid w:val="00221A93"/>
    <w:rsid w:val="002322BB"/>
    <w:rsid w:val="00237F0F"/>
    <w:rsid w:val="00240876"/>
    <w:rsid w:val="00251254"/>
    <w:rsid w:val="002548D1"/>
    <w:rsid w:val="00264CCE"/>
    <w:rsid w:val="0027283B"/>
    <w:rsid w:val="00275DD5"/>
    <w:rsid w:val="0028019B"/>
    <w:rsid w:val="00282E73"/>
    <w:rsid w:val="002839C8"/>
    <w:rsid w:val="00283CAB"/>
    <w:rsid w:val="0028525A"/>
    <w:rsid w:val="00286747"/>
    <w:rsid w:val="002A21E8"/>
    <w:rsid w:val="002A3FEF"/>
    <w:rsid w:val="002B3F29"/>
    <w:rsid w:val="002B54A6"/>
    <w:rsid w:val="002C2C46"/>
    <w:rsid w:val="002E2D83"/>
    <w:rsid w:val="002E3F05"/>
    <w:rsid w:val="002F36D2"/>
    <w:rsid w:val="002F3EE9"/>
    <w:rsid w:val="003013DC"/>
    <w:rsid w:val="00303018"/>
    <w:rsid w:val="00303C0F"/>
    <w:rsid w:val="003054E8"/>
    <w:rsid w:val="00307F76"/>
    <w:rsid w:val="00321FBB"/>
    <w:rsid w:val="00325597"/>
    <w:rsid w:val="00330832"/>
    <w:rsid w:val="003313EA"/>
    <w:rsid w:val="00333FAA"/>
    <w:rsid w:val="003355D7"/>
    <w:rsid w:val="00346470"/>
    <w:rsid w:val="00356CFF"/>
    <w:rsid w:val="0036201C"/>
    <w:rsid w:val="003647A2"/>
    <w:rsid w:val="00371E7B"/>
    <w:rsid w:val="003745B2"/>
    <w:rsid w:val="00376768"/>
    <w:rsid w:val="00380F87"/>
    <w:rsid w:val="00391B72"/>
    <w:rsid w:val="00395067"/>
    <w:rsid w:val="003A20F8"/>
    <w:rsid w:val="003B13F0"/>
    <w:rsid w:val="003B1AAA"/>
    <w:rsid w:val="003C270D"/>
    <w:rsid w:val="003C39DC"/>
    <w:rsid w:val="003C636C"/>
    <w:rsid w:val="003C7376"/>
    <w:rsid w:val="003D693F"/>
    <w:rsid w:val="003E6EE8"/>
    <w:rsid w:val="003F200F"/>
    <w:rsid w:val="003F3AFD"/>
    <w:rsid w:val="003F638A"/>
    <w:rsid w:val="004076C8"/>
    <w:rsid w:val="00416321"/>
    <w:rsid w:val="00417137"/>
    <w:rsid w:val="004207E3"/>
    <w:rsid w:val="00421A4C"/>
    <w:rsid w:val="004238C2"/>
    <w:rsid w:val="00432776"/>
    <w:rsid w:val="00435B5D"/>
    <w:rsid w:val="004363F7"/>
    <w:rsid w:val="004369D4"/>
    <w:rsid w:val="00442B81"/>
    <w:rsid w:val="0044525C"/>
    <w:rsid w:val="00450CA0"/>
    <w:rsid w:val="0045148C"/>
    <w:rsid w:val="004553F1"/>
    <w:rsid w:val="00455602"/>
    <w:rsid w:val="00465927"/>
    <w:rsid w:val="00471C1F"/>
    <w:rsid w:val="004758D0"/>
    <w:rsid w:val="004809FA"/>
    <w:rsid w:val="00482F76"/>
    <w:rsid w:val="00483349"/>
    <w:rsid w:val="00487754"/>
    <w:rsid w:val="0049229B"/>
    <w:rsid w:val="0049767C"/>
    <w:rsid w:val="004A3104"/>
    <w:rsid w:val="004A7981"/>
    <w:rsid w:val="004B630B"/>
    <w:rsid w:val="004C29CC"/>
    <w:rsid w:val="004C2D09"/>
    <w:rsid w:val="004C4A75"/>
    <w:rsid w:val="004D0472"/>
    <w:rsid w:val="004D2DA0"/>
    <w:rsid w:val="004D56DA"/>
    <w:rsid w:val="004D6403"/>
    <w:rsid w:val="004E14A4"/>
    <w:rsid w:val="004F54BD"/>
    <w:rsid w:val="004F56C5"/>
    <w:rsid w:val="004F6E47"/>
    <w:rsid w:val="004F7364"/>
    <w:rsid w:val="00500193"/>
    <w:rsid w:val="0050543F"/>
    <w:rsid w:val="00506185"/>
    <w:rsid w:val="00512BDB"/>
    <w:rsid w:val="00514681"/>
    <w:rsid w:val="005211C6"/>
    <w:rsid w:val="00524418"/>
    <w:rsid w:val="005313BA"/>
    <w:rsid w:val="00532644"/>
    <w:rsid w:val="005346ED"/>
    <w:rsid w:val="005354D0"/>
    <w:rsid w:val="00537B3F"/>
    <w:rsid w:val="005406E9"/>
    <w:rsid w:val="00541169"/>
    <w:rsid w:val="0054172C"/>
    <w:rsid w:val="0054590F"/>
    <w:rsid w:val="005459EC"/>
    <w:rsid w:val="00553E42"/>
    <w:rsid w:val="005569BE"/>
    <w:rsid w:val="00557800"/>
    <w:rsid w:val="00563EA4"/>
    <w:rsid w:val="00565BF5"/>
    <w:rsid w:val="005718B5"/>
    <w:rsid w:val="005808FB"/>
    <w:rsid w:val="005811F8"/>
    <w:rsid w:val="005813E1"/>
    <w:rsid w:val="00582605"/>
    <w:rsid w:val="00591016"/>
    <w:rsid w:val="005B3F67"/>
    <w:rsid w:val="005C7085"/>
    <w:rsid w:val="005D3CF1"/>
    <w:rsid w:val="005D548F"/>
    <w:rsid w:val="005D6EF5"/>
    <w:rsid w:val="005E12D0"/>
    <w:rsid w:val="005E3A10"/>
    <w:rsid w:val="005E7509"/>
    <w:rsid w:val="005F0C0D"/>
    <w:rsid w:val="00601D7F"/>
    <w:rsid w:val="00603CB6"/>
    <w:rsid w:val="006042E2"/>
    <w:rsid w:val="00605A4C"/>
    <w:rsid w:val="00613875"/>
    <w:rsid w:val="00615F0E"/>
    <w:rsid w:val="006317C3"/>
    <w:rsid w:val="00636668"/>
    <w:rsid w:val="006379F4"/>
    <w:rsid w:val="00643527"/>
    <w:rsid w:val="00645B8B"/>
    <w:rsid w:val="00650BE0"/>
    <w:rsid w:val="00655044"/>
    <w:rsid w:val="00655CC7"/>
    <w:rsid w:val="0066306B"/>
    <w:rsid w:val="00666922"/>
    <w:rsid w:val="00670F17"/>
    <w:rsid w:val="006710C7"/>
    <w:rsid w:val="00681AA7"/>
    <w:rsid w:val="00684E75"/>
    <w:rsid w:val="0069278A"/>
    <w:rsid w:val="00696A83"/>
    <w:rsid w:val="006B26B9"/>
    <w:rsid w:val="006B3B29"/>
    <w:rsid w:val="006B434A"/>
    <w:rsid w:val="006C52FD"/>
    <w:rsid w:val="006C580A"/>
    <w:rsid w:val="006C7701"/>
    <w:rsid w:val="006D0BE1"/>
    <w:rsid w:val="006D0CD4"/>
    <w:rsid w:val="006D0EDF"/>
    <w:rsid w:val="006D1E69"/>
    <w:rsid w:val="006F057C"/>
    <w:rsid w:val="006F22DA"/>
    <w:rsid w:val="006F2EB3"/>
    <w:rsid w:val="007058C9"/>
    <w:rsid w:val="007116B1"/>
    <w:rsid w:val="00714BEE"/>
    <w:rsid w:val="00721215"/>
    <w:rsid w:val="00723486"/>
    <w:rsid w:val="00726CEC"/>
    <w:rsid w:val="007333EC"/>
    <w:rsid w:val="007400CF"/>
    <w:rsid w:val="00762722"/>
    <w:rsid w:val="00781768"/>
    <w:rsid w:val="007825C5"/>
    <w:rsid w:val="00795968"/>
    <w:rsid w:val="00795BEA"/>
    <w:rsid w:val="007A018E"/>
    <w:rsid w:val="007A285D"/>
    <w:rsid w:val="007B23FC"/>
    <w:rsid w:val="007C32E3"/>
    <w:rsid w:val="007C42B1"/>
    <w:rsid w:val="007C48B8"/>
    <w:rsid w:val="007C5F90"/>
    <w:rsid w:val="007D0C1D"/>
    <w:rsid w:val="007D2000"/>
    <w:rsid w:val="007D4DBF"/>
    <w:rsid w:val="007D7432"/>
    <w:rsid w:val="007E4732"/>
    <w:rsid w:val="007E4BA4"/>
    <w:rsid w:val="007E743C"/>
    <w:rsid w:val="007E7CA0"/>
    <w:rsid w:val="007F004E"/>
    <w:rsid w:val="007F2F77"/>
    <w:rsid w:val="007F335A"/>
    <w:rsid w:val="008004BD"/>
    <w:rsid w:val="00803104"/>
    <w:rsid w:val="00804899"/>
    <w:rsid w:val="00806C87"/>
    <w:rsid w:val="008070E6"/>
    <w:rsid w:val="00812901"/>
    <w:rsid w:val="008146DD"/>
    <w:rsid w:val="008152C6"/>
    <w:rsid w:val="00816D70"/>
    <w:rsid w:val="008242EC"/>
    <w:rsid w:val="008251F2"/>
    <w:rsid w:val="00826B9A"/>
    <w:rsid w:val="008300FD"/>
    <w:rsid w:val="00830407"/>
    <w:rsid w:val="00831A15"/>
    <w:rsid w:val="00842757"/>
    <w:rsid w:val="00843CC2"/>
    <w:rsid w:val="0085266D"/>
    <w:rsid w:val="00854C88"/>
    <w:rsid w:val="00874250"/>
    <w:rsid w:val="0087607D"/>
    <w:rsid w:val="00877570"/>
    <w:rsid w:val="008852F8"/>
    <w:rsid w:val="00890A64"/>
    <w:rsid w:val="00892285"/>
    <w:rsid w:val="00895D87"/>
    <w:rsid w:val="00895EF4"/>
    <w:rsid w:val="00896309"/>
    <w:rsid w:val="008963B9"/>
    <w:rsid w:val="008A02BF"/>
    <w:rsid w:val="008A1A9A"/>
    <w:rsid w:val="008A5AA0"/>
    <w:rsid w:val="008A5B54"/>
    <w:rsid w:val="008C7EDB"/>
    <w:rsid w:val="008D4DD0"/>
    <w:rsid w:val="008D7DD6"/>
    <w:rsid w:val="008E0DA9"/>
    <w:rsid w:val="008E224D"/>
    <w:rsid w:val="008E3851"/>
    <w:rsid w:val="008E56CD"/>
    <w:rsid w:val="008F7348"/>
    <w:rsid w:val="00903B2F"/>
    <w:rsid w:val="00920D1B"/>
    <w:rsid w:val="00922BF5"/>
    <w:rsid w:val="00924330"/>
    <w:rsid w:val="00924AA7"/>
    <w:rsid w:val="0092530B"/>
    <w:rsid w:val="009341A6"/>
    <w:rsid w:val="00937BE3"/>
    <w:rsid w:val="0094208C"/>
    <w:rsid w:val="00942356"/>
    <w:rsid w:val="00942F17"/>
    <w:rsid w:val="00943236"/>
    <w:rsid w:val="00952CEF"/>
    <w:rsid w:val="00955421"/>
    <w:rsid w:val="00956AC9"/>
    <w:rsid w:val="009579DA"/>
    <w:rsid w:val="009705AB"/>
    <w:rsid w:val="0097336D"/>
    <w:rsid w:val="00980D2C"/>
    <w:rsid w:val="00990E9C"/>
    <w:rsid w:val="00994542"/>
    <w:rsid w:val="0099461F"/>
    <w:rsid w:val="00994908"/>
    <w:rsid w:val="009A6659"/>
    <w:rsid w:val="009A6CE4"/>
    <w:rsid w:val="009B160B"/>
    <w:rsid w:val="009B29DF"/>
    <w:rsid w:val="009B4B5F"/>
    <w:rsid w:val="009C237B"/>
    <w:rsid w:val="009C4DD1"/>
    <w:rsid w:val="009D3CF1"/>
    <w:rsid w:val="009D479F"/>
    <w:rsid w:val="009D6451"/>
    <w:rsid w:val="009D67C8"/>
    <w:rsid w:val="009E07C1"/>
    <w:rsid w:val="009E26DB"/>
    <w:rsid w:val="009E40B9"/>
    <w:rsid w:val="009E42DA"/>
    <w:rsid w:val="009E4D35"/>
    <w:rsid w:val="009E5A93"/>
    <w:rsid w:val="009F3154"/>
    <w:rsid w:val="009F5685"/>
    <w:rsid w:val="00A1211C"/>
    <w:rsid w:val="00A20113"/>
    <w:rsid w:val="00A20D78"/>
    <w:rsid w:val="00A2215F"/>
    <w:rsid w:val="00A22839"/>
    <w:rsid w:val="00A23E19"/>
    <w:rsid w:val="00A26153"/>
    <w:rsid w:val="00A32C3A"/>
    <w:rsid w:val="00A33185"/>
    <w:rsid w:val="00A348A2"/>
    <w:rsid w:val="00A50068"/>
    <w:rsid w:val="00A52D81"/>
    <w:rsid w:val="00A52E3C"/>
    <w:rsid w:val="00A53B04"/>
    <w:rsid w:val="00A54A24"/>
    <w:rsid w:val="00A63E31"/>
    <w:rsid w:val="00A661F4"/>
    <w:rsid w:val="00A66326"/>
    <w:rsid w:val="00A7271A"/>
    <w:rsid w:val="00A74CE3"/>
    <w:rsid w:val="00A74D79"/>
    <w:rsid w:val="00A81E19"/>
    <w:rsid w:val="00A9723B"/>
    <w:rsid w:val="00A97C96"/>
    <w:rsid w:val="00AA3353"/>
    <w:rsid w:val="00AA40FD"/>
    <w:rsid w:val="00AA6587"/>
    <w:rsid w:val="00AB43A6"/>
    <w:rsid w:val="00AB76F1"/>
    <w:rsid w:val="00AB795F"/>
    <w:rsid w:val="00AC374F"/>
    <w:rsid w:val="00AC5CB7"/>
    <w:rsid w:val="00AC5F05"/>
    <w:rsid w:val="00AC6312"/>
    <w:rsid w:val="00AD1E77"/>
    <w:rsid w:val="00AD6D80"/>
    <w:rsid w:val="00AE2EDA"/>
    <w:rsid w:val="00AE43AD"/>
    <w:rsid w:val="00B00AA9"/>
    <w:rsid w:val="00B02C05"/>
    <w:rsid w:val="00B1160D"/>
    <w:rsid w:val="00B139FB"/>
    <w:rsid w:val="00B17BA9"/>
    <w:rsid w:val="00B22B53"/>
    <w:rsid w:val="00B24BA1"/>
    <w:rsid w:val="00B262B2"/>
    <w:rsid w:val="00B27D8D"/>
    <w:rsid w:val="00B313D8"/>
    <w:rsid w:val="00B441E1"/>
    <w:rsid w:val="00B444E6"/>
    <w:rsid w:val="00B52011"/>
    <w:rsid w:val="00B53EFF"/>
    <w:rsid w:val="00B54AFA"/>
    <w:rsid w:val="00B57617"/>
    <w:rsid w:val="00B645DD"/>
    <w:rsid w:val="00B65D71"/>
    <w:rsid w:val="00B671A4"/>
    <w:rsid w:val="00B7116E"/>
    <w:rsid w:val="00B73BC2"/>
    <w:rsid w:val="00B804E8"/>
    <w:rsid w:val="00B852A3"/>
    <w:rsid w:val="00B867CD"/>
    <w:rsid w:val="00BA185E"/>
    <w:rsid w:val="00BA46C3"/>
    <w:rsid w:val="00BB1410"/>
    <w:rsid w:val="00BB7134"/>
    <w:rsid w:val="00BC0CC4"/>
    <w:rsid w:val="00BC206C"/>
    <w:rsid w:val="00BC431A"/>
    <w:rsid w:val="00BC7AC9"/>
    <w:rsid w:val="00BD5D9A"/>
    <w:rsid w:val="00BE7591"/>
    <w:rsid w:val="00BE7BCA"/>
    <w:rsid w:val="00BF5810"/>
    <w:rsid w:val="00BF5AFA"/>
    <w:rsid w:val="00C01A35"/>
    <w:rsid w:val="00C03772"/>
    <w:rsid w:val="00C04EDA"/>
    <w:rsid w:val="00C0690A"/>
    <w:rsid w:val="00C0701E"/>
    <w:rsid w:val="00C119A2"/>
    <w:rsid w:val="00C1254A"/>
    <w:rsid w:val="00C15112"/>
    <w:rsid w:val="00C22255"/>
    <w:rsid w:val="00C43FB4"/>
    <w:rsid w:val="00C51F7F"/>
    <w:rsid w:val="00C53F1A"/>
    <w:rsid w:val="00C566A2"/>
    <w:rsid w:val="00C57267"/>
    <w:rsid w:val="00C616FF"/>
    <w:rsid w:val="00C62B63"/>
    <w:rsid w:val="00C65243"/>
    <w:rsid w:val="00C72403"/>
    <w:rsid w:val="00C72B5B"/>
    <w:rsid w:val="00C77597"/>
    <w:rsid w:val="00C80CCB"/>
    <w:rsid w:val="00C869F3"/>
    <w:rsid w:val="00C93F92"/>
    <w:rsid w:val="00CA0C7D"/>
    <w:rsid w:val="00CA4225"/>
    <w:rsid w:val="00CA78D5"/>
    <w:rsid w:val="00CC12F3"/>
    <w:rsid w:val="00CC18AC"/>
    <w:rsid w:val="00CC5BE9"/>
    <w:rsid w:val="00CD7D5D"/>
    <w:rsid w:val="00CF0621"/>
    <w:rsid w:val="00CF0FC4"/>
    <w:rsid w:val="00CF2547"/>
    <w:rsid w:val="00CF682C"/>
    <w:rsid w:val="00CF6932"/>
    <w:rsid w:val="00CF744F"/>
    <w:rsid w:val="00D01FE3"/>
    <w:rsid w:val="00D0381E"/>
    <w:rsid w:val="00D04CB2"/>
    <w:rsid w:val="00D067FE"/>
    <w:rsid w:val="00D06CA3"/>
    <w:rsid w:val="00D074C7"/>
    <w:rsid w:val="00D07F46"/>
    <w:rsid w:val="00D100E8"/>
    <w:rsid w:val="00D170E5"/>
    <w:rsid w:val="00D23ABE"/>
    <w:rsid w:val="00D30BAD"/>
    <w:rsid w:val="00D32E3D"/>
    <w:rsid w:val="00D37F2F"/>
    <w:rsid w:val="00D415B9"/>
    <w:rsid w:val="00D50257"/>
    <w:rsid w:val="00D528E8"/>
    <w:rsid w:val="00D56929"/>
    <w:rsid w:val="00D76A51"/>
    <w:rsid w:val="00D771D0"/>
    <w:rsid w:val="00D77906"/>
    <w:rsid w:val="00D8311A"/>
    <w:rsid w:val="00D835CF"/>
    <w:rsid w:val="00D906C2"/>
    <w:rsid w:val="00D91C9E"/>
    <w:rsid w:val="00D9223D"/>
    <w:rsid w:val="00DA176F"/>
    <w:rsid w:val="00DA26FB"/>
    <w:rsid w:val="00DA36BE"/>
    <w:rsid w:val="00DB6C3D"/>
    <w:rsid w:val="00DC2956"/>
    <w:rsid w:val="00DC48C4"/>
    <w:rsid w:val="00DC5ACF"/>
    <w:rsid w:val="00DD3573"/>
    <w:rsid w:val="00DD7468"/>
    <w:rsid w:val="00DD7A27"/>
    <w:rsid w:val="00DE25E9"/>
    <w:rsid w:val="00DE71D3"/>
    <w:rsid w:val="00DE72CF"/>
    <w:rsid w:val="00DF08A0"/>
    <w:rsid w:val="00DF5CAB"/>
    <w:rsid w:val="00E064AC"/>
    <w:rsid w:val="00E13BEF"/>
    <w:rsid w:val="00E17E5E"/>
    <w:rsid w:val="00E203B7"/>
    <w:rsid w:val="00E2062D"/>
    <w:rsid w:val="00E20BB3"/>
    <w:rsid w:val="00E24BA8"/>
    <w:rsid w:val="00E424F9"/>
    <w:rsid w:val="00E5297F"/>
    <w:rsid w:val="00E55335"/>
    <w:rsid w:val="00E629A9"/>
    <w:rsid w:val="00E70760"/>
    <w:rsid w:val="00E84A5C"/>
    <w:rsid w:val="00E85B1D"/>
    <w:rsid w:val="00E91B25"/>
    <w:rsid w:val="00E9253C"/>
    <w:rsid w:val="00E9738F"/>
    <w:rsid w:val="00EA5C0F"/>
    <w:rsid w:val="00EA77D0"/>
    <w:rsid w:val="00EB11E9"/>
    <w:rsid w:val="00EB3CF0"/>
    <w:rsid w:val="00EB45B5"/>
    <w:rsid w:val="00EB5E57"/>
    <w:rsid w:val="00EB61DB"/>
    <w:rsid w:val="00ED1AD0"/>
    <w:rsid w:val="00ED4AFD"/>
    <w:rsid w:val="00ED5CB6"/>
    <w:rsid w:val="00ED6776"/>
    <w:rsid w:val="00EE0A78"/>
    <w:rsid w:val="00EE4FBE"/>
    <w:rsid w:val="00EF4C8D"/>
    <w:rsid w:val="00F01014"/>
    <w:rsid w:val="00F02512"/>
    <w:rsid w:val="00F038A1"/>
    <w:rsid w:val="00F06E4E"/>
    <w:rsid w:val="00F074A8"/>
    <w:rsid w:val="00F12F9B"/>
    <w:rsid w:val="00F16EDB"/>
    <w:rsid w:val="00F238E0"/>
    <w:rsid w:val="00F27E90"/>
    <w:rsid w:val="00F51E01"/>
    <w:rsid w:val="00F527B1"/>
    <w:rsid w:val="00F55C47"/>
    <w:rsid w:val="00F5649A"/>
    <w:rsid w:val="00F607E2"/>
    <w:rsid w:val="00F61E9A"/>
    <w:rsid w:val="00F64D7A"/>
    <w:rsid w:val="00F664A9"/>
    <w:rsid w:val="00F66B09"/>
    <w:rsid w:val="00F67DC5"/>
    <w:rsid w:val="00F82342"/>
    <w:rsid w:val="00F86C5B"/>
    <w:rsid w:val="00F877DB"/>
    <w:rsid w:val="00F91AE4"/>
    <w:rsid w:val="00F92063"/>
    <w:rsid w:val="00F93C8B"/>
    <w:rsid w:val="00F959DD"/>
    <w:rsid w:val="00F95B95"/>
    <w:rsid w:val="00F960D5"/>
    <w:rsid w:val="00F96998"/>
    <w:rsid w:val="00FB1231"/>
    <w:rsid w:val="00FB287C"/>
    <w:rsid w:val="00FC1C5C"/>
    <w:rsid w:val="00FD0A81"/>
    <w:rsid w:val="00FD671D"/>
    <w:rsid w:val="00FD7555"/>
    <w:rsid w:val="00FE17E2"/>
    <w:rsid w:val="00FE4A3D"/>
    <w:rsid w:val="00FF0A9D"/>
    <w:rsid w:val="00FF5A3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A7F274"/>
  <w15:docId w15:val="{ADF9750B-6C82-411C-A855-D7A465A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cPr>
  </w:style>
  <w:style w:type="character" w:styleId="UnresolvedMention">
    <w:name w:val="Unresolved Mention"/>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semiHidden/>
    <w:unhideWhenUsed/>
    <w:rsid w:val="00356CFF"/>
    <w:rPr>
      <w:sz w:val="16"/>
      <w:szCs w:val="16"/>
    </w:rPr>
  </w:style>
  <w:style w:type="paragraph" w:styleId="CommentText">
    <w:name w:val="annotation text"/>
    <w:basedOn w:val="Normal"/>
    <w:link w:val="CommentTextChar"/>
    <w:semiHidden/>
    <w:unhideWhenUsed/>
    <w:rsid w:val="00356CFF"/>
    <w:rPr>
      <w:sz w:val="20"/>
    </w:rPr>
  </w:style>
  <w:style w:type="character" w:customStyle="1" w:styleId="CommentTextChar">
    <w:name w:val="Comment Text Char"/>
    <w:link w:val="CommentText"/>
    <w:semiHidden/>
    <w:rsid w:val="00356CFF"/>
    <w:rPr>
      <w:rFonts w:ascii="Arial" w:hAnsi="Arial"/>
      <w:lang w:eastAsia="en-US"/>
    </w:rPr>
  </w:style>
  <w:style w:type="paragraph" w:styleId="CommentSubject">
    <w:name w:val="annotation subject"/>
    <w:basedOn w:val="CommentText"/>
    <w:next w:val="CommentText"/>
    <w:link w:val="CommentSubjectChar"/>
    <w:semiHidden/>
    <w:unhideWhenUsed/>
    <w:rsid w:val="00356CFF"/>
    <w:rPr>
      <w:b/>
      <w:bCs/>
    </w:rPr>
  </w:style>
  <w:style w:type="character" w:customStyle="1" w:styleId="CommentSubjectChar">
    <w:name w:val="Comment Subject Char"/>
    <w:link w:val="CommentSubject"/>
    <w:semiHidden/>
    <w:rsid w:val="00356CFF"/>
    <w:rPr>
      <w:rFonts w:ascii="Arial" w:hAnsi="Arial"/>
      <w:b/>
      <w:bCs/>
      <w:lang w:eastAsia="en-US"/>
    </w:rPr>
  </w:style>
  <w:style w:type="paragraph" w:customStyle="1" w:styleId="CharCharCharChar0">
    <w:name w:val="Char Char Char Char"/>
    <w:basedOn w:val="Normal"/>
    <w:locked/>
    <w:rsid w:val="00CC12F3"/>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9086449">
      <w:bodyDiv w:val="1"/>
      <w:marLeft w:val="0"/>
      <w:marRight w:val="0"/>
      <w:marTop w:val="0"/>
      <w:marBottom w:val="0"/>
      <w:divBdr>
        <w:top w:val="none" w:sz="0" w:space="0" w:color="auto"/>
        <w:left w:val="none" w:sz="0" w:space="0" w:color="auto"/>
        <w:bottom w:val="none" w:sz="0" w:space="0" w:color="auto"/>
        <w:right w:val="none" w:sz="0" w:space="0" w:color="auto"/>
      </w:divBdr>
    </w:div>
    <w:div w:id="16888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m.brya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9324602F-51EA-4011-B9EA-8D49A7D3E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4479</Words>
  <Characters>23124</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27548</CharactersWithSpaces>
  <SharedDoc>false</SharedDoc>
  <HLinks>
    <vt:vector size="12" baseType="variant">
      <vt:variant>
        <vt:i4>8323166</vt:i4>
      </vt:variant>
      <vt:variant>
        <vt:i4>6</vt:i4>
      </vt:variant>
      <vt:variant>
        <vt:i4>0</vt:i4>
      </vt:variant>
      <vt:variant>
        <vt:i4>5</vt:i4>
      </vt:variant>
      <vt:variant>
        <vt:lpwstr>mailto:tim.bryan@harrow.gov.uk</vt:lpwstr>
      </vt:variant>
      <vt:variant>
        <vt:lpwstr/>
      </vt:variant>
      <vt:variant>
        <vt:i4>393277</vt:i4>
      </vt:variant>
      <vt:variant>
        <vt:i4>0</vt:i4>
      </vt:variant>
      <vt:variant>
        <vt:i4>0</vt:i4>
      </vt:variant>
      <vt:variant>
        <vt:i4>5</vt:i4>
      </vt:variant>
      <vt:variant>
        <vt:lpwstr>mailto:dipti.patel@harrow.gov.uk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cp:revision>
  <cp:lastPrinted>2014-10-31T16:34:00Z</cp:lastPrinted>
  <dcterms:created xsi:type="dcterms:W3CDTF">2022-06-07T07:00:00Z</dcterms:created>
  <dcterms:modified xsi:type="dcterms:W3CDTF">2022-06-13T09:27:00Z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